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E2351" w14:textId="77777777" w:rsidR="008D3C87" w:rsidRDefault="001A057D">
      <w:pPr>
        <w:pStyle w:val="Title"/>
        <w:tabs>
          <w:tab w:val="left" w:pos="3240"/>
        </w:tabs>
        <w:ind w:right="0"/>
        <w:jc w:val="center"/>
        <w:rPr>
          <w:rFonts w:ascii="Arial" w:hAnsi="Arial"/>
        </w:rPr>
      </w:pPr>
      <w:r>
        <w:rPr>
          <w:rFonts w:ascii="Arial" w:hAnsi="Arial"/>
        </w:rPr>
        <w:t xml:space="preserve">AORN Position Statement on </w:t>
      </w:r>
      <w:r>
        <w:rPr>
          <w:rFonts w:ascii="Arial" w:hAnsi="Arial" w:cs="Arial"/>
        </w:rPr>
        <w:br/>
      </w:r>
      <w:r>
        <w:rPr>
          <w:rFonts w:ascii="Arial" w:hAnsi="Arial"/>
        </w:rPr>
        <w:t xml:space="preserve">Care of the Older Adult in </w:t>
      </w:r>
      <w:r>
        <w:rPr>
          <w:rFonts w:ascii="Arial" w:hAnsi="Arial" w:cs="Arial"/>
          <w:spacing w:val="-87"/>
        </w:rPr>
        <w:t xml:space="preserve"> </w:t>
      </w:r>
      <w:r>
        <w:rPr>
          <w:rFonts w:ascii="Arial" w:hAnsi="Arial"/>
        </w:rPr>
        <w:t>Perioperative Settings</w:t>
      </w:r>
    </w:p>
    <w:p w14:paraId="304D9971" w14:textId="77777777" w:rsidR="008D3C87" w:rsidRPr="00D27684" w:rsidRDefault="001A057D">
      <w:pPr>
        <w:pStyle w:val="Heading1"/>
        <w:tabs>
          <w:tab w:val="left" w:pos="3240"/>
        </w:tabs>
        <w:spacing w:before="360" w:after="240" w:line="259" w:lineRule="auto"/>
        <w:ind w:left="0"/>
        <w:rPr>
          <w:rFonts w:asciiTheme="minorHAnsi" w:eastAsiaTheme="minorHAnsi" w:hAnsiTheme="minorHAnsi"/>
          <w:caps/>
          <w:sz w:val="22"/>
        </w:rPr>
      </w:pPr>
      <w:r w:rsidRPr="00D27684">
        <w:rPr>
          <w:rFonts w:asciiTheme="minorHAnsi" w:eastAsiaTheme="minorHAnsi" w:hAnsiTheme="minorHAnsi"/>
          <w:caps/>
          <w:sz w:val="22"/>
        </w:rPr>
        <w:t>POSITION STATEMENT</w:t>
      </w:r>
    </w:p>
    <w:p w14:paraId="2C0454AD" w14:textId="77777777" w:rsidR="008D3C87" w:rsidRPr="00D27684" w:rsidRDefault="001A057D">
      <w:pPr>
        <w:tabs>
          <w:tab w:val="left" w:pos="3240"/>
        </w:tabs>
        <w:spacing w:before="240" w:after="160" w:line="259" w:lineRule="auto"/>
        <w:rPr>
          <w:rFonts w:ascii="Arial" w:eastAsiaTheme="minorHAnsi" w:hAnsi="Arial" w:cs="Arial"/>
          <w:sz w:val="20"/>
          <w:szCs w:val="20"/>
        </w:rPr>
      </w:pPr>
      <w:r w:rsidRPr="00D27684">
        <w:rPr>
          <w:rFonts w:ascii="Arial" w:eastAsiaTheme="minorHAnsi" w:hAnsi="Arial" w:cs="Arial"/>
          <w:sz w:val="20"/>
          <w:szCs w:val="20"/>
        </w:rPr>
        <w:t>Perioperative registered nurses (RNs) provide patient-centered care and develop interventions for older adults by taking into consideration the changes associated with aging and by understanding that age alone puts older adults at risk for perioperative complications.</w:t>
      </w:r>
    </w:p>
    <w:p w14:paraId="3D313568" w14:textId="77777777" w:rsidR="008D3C87" w:rsidRPr="00D27684" w:rsidRDefault="001A057D">
      <w:pPr>
        <w:tabs>
          <w:tab w:val="left" w:pos="3240"/>
        </w:tabs>
        <w:spacing w:before="240" w:after="160" w:line="259" w:lineRule="auto"/>
        <w:rPr>
          <w:rFonts w:ascii="Arial" w:eastAsiaTheme="minorHAnsi" w:hAnsi="Arial" w:cs="Arial"/>
          <w:sz w:val="20"/>
          <w:szCs w:val="20"/>
        </w:rPr>
      </w:pPr>
      <w:r w:rsidRPr="00D27684">
        <w:rPr>
          <w:rFonts w:ascii="Arial" w:eastAsiaTheme="minorHAnsi" w:hAnsi="Arial" w:cs="Arial"/>
          <w:sz w:val="20"/>
          <w:szCs w:val="20"/>
        </w:rPr>
        <w:t>AORN believes perioperative RNs should</w:t>
      </w:r>
    </w:p>
    <w:p w14:paraId="23DAB857" w14:textId="77777777" w:rsidR="008D3C87" w:rsidRPr="00D27684" w:rsidRDefault="001A057D">
      <w:pPr>
        <w:pStyle w:val="StatementText"/>
        <w:numPr>
          <w:ilvl w:val="0"/>
          <w:numId w:val="1"/>
        </w:numPr>
        <w:tabs>
          <w:tab w:val="left" w:pos="3240"/>
        </w:tabs>
        <w:ind w:left="360"/>
      </w:pPr>
      <w:r w:rsidRPr="00D27684">
        <w:t>meet the physiological, cognitive, special communication, cultural,</w:t>
      </w:r>
      <w:r w:rsidRPr="00D27684">
        <w:rPr>
          <w:vertAlign w:val="superscript"/>
        </w:rPr>
        <w:t>1,2</w:t>
      </w:r>
      <w:r w:rsidRPr="00D27684">
        <w:t xml:space="preserve"> psychosocial, and spiritual</w:t>
      </w:r>
      <w:r w:rsidRPr="00D27684">
        <w:rPr>
          <w:vertAlign w:val="superscript"/>
        </w:rPr>
        <w:t>1</w:t>
      </w:r>
      <w:r w:rsidRPr="00D27684">
        <w:t xml:space="preserve"> needs of older </w:t>
      </w:r>
      <w:proofErr w:type="gramStart"/>
      <w:r w:rsidRPr="00D27684">
        <w:t>adults;</w:t>
      </w:r>
      <w:proofErr w:type="gramEnd"/>
    </w:p>
    <w:p w14:paraId="18DEA81E" w14:textId="77777777" w:rsidR="008D3C87" w:rsidRPr="00D27684" w:rsidRDefault="001A057D">
      <w:pPr>
        <w:pStyle w:val="StatementText"/>
        <w:numPr>
          <w:ilvl w:val="0"/>
          <w:numId w:val="1"/>
        </w:numPr>
        <w:tabs>
          <w:tab w:val="left" w:pos="3240"/>
        </w:tabs>
        <w:ind w:left="360"/>
      </w:pPr>
      <w:r w:rsidRPr="00D27684">
        <w:t xml:space="preserve">review and confirm patient, family, and caregiver preferences for goals and treatment during the surgical </w:t>
      </w:r>
      <w:proofErr w:type="gramStart"/>
      <w:r w:rsidRPr="00D27684">
        <w:t>experience</w:t>
      </w:r>
      <w:r w:rsidRPr="00D27684">
        <w:rPr>
          <w:vertAlign w:val="superscript"/>
        </w:rPr>
        <w:t>3</w:t>
      </w:r>
      <w:r w:rsidRPr="00D27684">
        <w:t>;</w:t>
      </w:r>
      <w:proofErr w:type="gramEnd"/>
      <w:r w:rsidRPr="00D27684">
        <w:t xml:space="preserve"> </w:t>
      </w:r>
    </w:p>
    <w:p w14:paraId="30E43774" w14:textId="77777777" w:rsidR="008D3C87" w:rsidRPr="00D27684" w:rsidRDefault="001A057D">
      <w:pPr>
        <w:pStyle w:val="StatementText"/>
        <w:numPr>
          <w:ilvl w:val="0"/>
          <w:numId w:val="1"/>
        </w:numPr>
        <w:tabs>
          <w:tab w:val="left" w:pos="3240"/>
        </w:tabs>
        <w:ind w:left="360"/>
      </w:pPr>
      <w:r w:rsidRPr="00D27684">
        <w:t>allow older adults to use assistive devices (eg, hearing aids, glasses) in the perioperative setting</w:t>
      </w:r>
      <w:r w:rsidRPr="00D27684">
        <w:rPr>
          <w:vertAlign w:val="superscript"/>
        </w:rPr>
        <w:t>3,</w:t>
      </w:r>
      <w:proofErr w:type="gramStart"/>
      <w:r w:rsidRPr="00D27684">
        <w:rPr>
          <w:vertAlign w:val="superscript"/>
        </w:rPr>
        <w:t>4</w:t>
      </w:r>
      <w:r w:rsidRPr="00D27684">
        <w:t>;</w:t>
      </w:r>
      <w:proofErr w:type="gramEnd"/>
      <w:r w:rsidRPr="00D27684">
        <w:t xml:space="preserve"> </w:t>
      </w:r>
    </w:p>
    <w:p w14:paraId="3E302B97" w14:textId="77777777" w:rsidR="008D3C87" w:rsidRPr="00D27684" w:rsidRDefault="001A057D">
      <w:pPr>
        <w:pStyle w:val="StatementText"/>
        <w:numPr>
          <w:ilvl w:val="0"/>
          <w:numId w:val="1"/>
        </w:numPr>
        <w:tabs>
          <w:tab w:val="left" w:pos="3240"/>
        </w:tabs>
        <w:ind w:left="360"/>
      </w:pPr>
      <w:r w:rsidRPr="00D27684">
        <w:t>understand chronic disease, comorbidities, and pharmacological interactions</w:t>
      </w:r>
      <w:r w:rsidRPr="00D27684">
        <w:rPr>
          <w:vertAlign w:val="superscript"/>
        </w:rPr>
        <w:t>5-</w:t>
      </w:r>
      <w:proofErr w:type="gramStart"/>
      <w:r w:rsidRPr="00D27684">
        <w:rPr>
          <w:vertAlign w:val="superscript"/>
        </w:rPr>
        <w:t>7</w:t>
      </w:r>
      <w:r w:rsidRPr="00D27684">
        <w:t>;</w:t>
      </w:r>
      <w:proofErr w:type="gramEnd"/>
    </w:p>
    <w:p w14:paraId="59052083" w14:textId="77777777" w:rsidR="008D3C87" w:rsidRPr="00D27684" w:rsidRDefault="001A057D">
      <w:pPr>
        <w:pStyle w:val="StatementText"/>
        <w:numPr>
          <w:ilvl w:val="0"/>
          <w:numId w:val="1"/>
        </w:numPr>
        <w:tabs>
          <w:tab w:val="left" w:pos="3240"/>
        </w:tabs>
        <w:ind w:left="360"/>
      </w:pPr>
      <w:r w:rsidRPr="00D27684">
        <w:t xml:space="preserve">review medication reconciliation lists with awareness of potential medication interactions and continuance and discontinuance of certain </w:t>
      </w:r>
      <w:proofErr w:type="gramStart"/>
      <w:r w:rsidRPr="00D27684">
        <w:t>medications</w:t>
      </w:r>
      <w:r w:rsidRPr="00D27684">
        <w:rPr>
          <w:vertAlign w:val="superscript"/>
        </w:rPr>
        <w:t>4</w:t>
      </w:r>
      <w:r w:rsidRPr="00D27684">
        <w:t>;</w:t>
      </w:r>
      <w:proofErr w:type="gramEnd"/>
      <w:r w:rsidRPr="00D27684">
        <w:t xml:space="preserve"> </w:t>
      </w:r>
    </w:p>
    <w:p w14:paraId="34BD2791" w14:textId="77777777" w:rsidR="008D3C87" w:rsidRPr="00D27684" w:rsidRDefault="001A057D">
      <w:pPr>
        <w:pStyle w:val="StatementText"/>
        <w:numPr>
          <w:ilvl w:val="0"/>
          <w:numId w:val="1"/>
        </w:numPr>
        <w:tabs>
          <w:tab w:val="left" w:pos="3240"/>
        </w:tabs>
        <w:ind w:left="360"/>
      </w:pPr>
      <w:r w:rsidRPr="00D27684">
        <w:t xml:space="preserve">be aware of </w:t>
      </w:r>
      <w:proofErr w:type="spellStart"/>
      <w:r w:rsidRPr="00D27684">
        <w:t>polypharmacological</w:t>
      </w:r>
      <w:proofErr w:type="spellEnd"/>
      <w:r w:rsidRPr="00D27684">
        <w:t xml:space="preserve"> effects on reactions and interactions in this population</w:t>
      </w:r>
      <w:r w:rsidRPr="00D27684">
        <w:rPr>
          <w:vertAlign w:val="superscript"/>
        </w:rPr>
        <w:t>3,</w:t>
      </w:r>
      <w:proofErr w:type="gramStart"/>
      <w:r w:rsidRPr="00D27684">
        <w:rPr>
          <w:vertAlign w:val="superscript"/>
        </w:rPr>
        <w:t>8</w:t>
      </w:r>
      <w:r w:rsidRPr="00D27684">
        <w:t>;</w:t>
      </w:r>
      <w:proofErr w:type="gramEnd"/>
    </w:p>
    <w:p w14:paraId="57A3C7AE" w14:textId="77777777" w:rsidR="008D3C87" w:rsidRPr="00D27684" w:rsidRDefault="001A057D">
      <w:pPr>
        <w:pStyle w:val="StatementText"/>
        <w:numPr>
          <w:ilvl w:val="0"/>
          <w:numId w:val="1"/>
        </w:numPr>
        <w:tabs>
          <w:tab w:val="left" w:pos="3240"/>
        </w:tabs>
        <w:ind w:left="360"/>
      </w:pPr>
      <w:r w:rsidRPr="00D27684">
        <w:t xml:space="preserve">advocate for older adults in the decision-making process, including for decisions regarding advance directives and end-of-life care made by the patient or the patient’s family or </w:t>
      </w:r>
      <w:proofErr w:type="gramStart"/>
      <w:r w:rsidRPr="00D27684">
        <w:t>caregivers</w:t>
      </w:r>
      <w:r w:rsidRPr="00D27684">
        <w:rPr>
          <w:vertAlign w:val="superscript"/>
        </w:rPr>
        <w:t>3</w:t>
      </w:r>
      <w:r w:rsidRPr="00D27684">
        <w:t>;</w:t>
      </w:r>
      <w:proofErr w:type="gramEnd"/>
      <w:r w:rsidRPr="00D27684">
        <w:t xml:space="preserve"> </w:t>
      </w:r>
    </w:p>
    <w:p w14:paraId="285AD81F" w14:textId="538DE210" w:rsidR="001D0CBD" w:rsidRPr="00D27684" w:rsidRDefault="001A057D" w:rsidP="005731CF">
      <w:pPr>
        <w:pStyle w:val="StatementText"/>
        <w:numPr>
          <w:ilvl w:val="0"/>
          <w:numId w:val="1"/>
        </w:numPr>
        <w:tabs>
          <w:tab w:val="left" w:pos="3240"/>
        </w:tabs>
        <w:ind w:left="360"/>
      </w:pPr>
      <w:r w:rsidRPr="00D27684">
        <w:t>be aware of ethical dilemmas when caring for elderly patients, including patients with DNR status undergoing general anesthesia.</w:t>
      </w:r>
    </w:p>
    <w:p w14:paraId="6B493F47" w14:textId="77777777" w:rsidR="008D3C87" w:rsidRPr="00D27684" w:rsidRDefault="001A057D">
      <w:pPr>
        <w:pStyle w:val="StatementText"/>
        <w:numPr>
          <w:ilvl w:val="0"/>
          <w:numId w:val="1"/>
        </w:numPr>
        <w:tabs>
          <w:tab w:val="left" w:pos="3240"/>
        </w:tabs>
        <w:ind w:left="360"/>
      </w:pPr>
      <w:r w:rsidRPr="00D27684">
        <w:t>respect the boundaries that protect patients as well as care providers during all interactions with older adult patients and their designated support person(s)</w:t>
      </w:r>
      <w:proofErr w:type="gramStart"/>
      <w:r w:rsidRPr="00D27684">
        <w:rPr>
          <w:vertAlign w:val="superscript"/>
        </w:rPr>
        <w:t>9</w:t>
      </w:r>
      <w:r w:rsidRPr="00D27684">
        <w:t>;</w:t>
      </w:r>
      <w:proofErr w:type="gramEnd"/>
    </w:p>
    <w:p w14:paraId="740D78C2" w14:textId="6EAADEA9" w:rsidR="008D3C87" w:rsidRPr="00D27684" w:rsidRDefault="001A057D">
      <w:pPr>
        <w:pStyle w:val="StatementText"/>
        <w:numPr>
          <w:ilvl w:val="0"/>
          <w:numId w:val="1"/>
        </w:numPr>
        <w:tabs>
          <w:tab w:val="left" w:pos="3240"/>
        </w:tabs>
        <w:ind w:left="360"/>
      </w:pPr>
      <w:r w:rsidRPr="00D27684">
        <w:t>use resources (</w:t>
      </w:r>
      <w:r w:rsidR="00AF3101" w:rsidRPr="00D27684">
        <w:t>e.g.</w:t>
      </w:r>
      <w:r w:rsidRPr="00D27684">
        <w:t>, positioning aids, padding, transfer and transport assistive devices) that address the unique needs of the older adult patient to maintain proper positioning, prevent pressure injuries, and maintain skin integrity</w:t>
      </w:r>
      <w:r w:rsidRPr="00D27684">
        <w:rPr>
          <w:vertAlign w:val="superscript"/>
        </w:rPr>
        <w:t>3,</w:t>
      </w:r>
      <w:proofErr w:type="gramStart"/>
      <w:r w:rsidRPr="00D27684">
        <w:rPr>
          <w:vertAlign w:val="superscript"/>
        </w:rPr>
        <w:t>10</w:t>
      </w:r>
      <w:r w:rsidRPr="00D27684">
        <w:t>;</w:t>
      </w:r>
      <w:proofErr w:type="gramEnd"/>
      <w:r w:rsidRPr="00D27684">
        <w:t xml:space="preserve"> </w:t>
      </w:r>
    </w:p>
    <w:p w14:paraId="43DE8EF5" w14:textId="77777777" w:rsidR="008D3C87" w:rsidRPr="00D27684" w:rsidRDefault="001A057D">
      <w:pPr>
        <w:pStyle w:val="StatementText"/>
        <w:numPr>
          <w:ilvl w:val="0"/>
          <w:numId w:val="1"/>
        </w:numPr>
        <w:tabs>
          <w:tab w:val="left" w:pos="3240"/>
        </w:tabs>
        <w:ind w:left="360"/>
      </w:pPr>
      <w:r w:rsidRPr="00D27684">
        <w:t>receive education and undergo competency verification that addresses the specialized knowledge and skills needed for the care of older adults</w:t>
      </w:r>
      <w:r w:rsidRPr="00D27684">
        <w:rPr>
          <w:vertAlign w:val="superscript"/>
        </w:rPr>
        <w:t>11</w:t>
      </w:r>
      <w:r w:rsidRPr="00D27684">
        <w:t>; and</w:t>
      </w:r>
    </w:p>
    <w:p w14:paraId="4C1F16CF" w14:textId="297F7432" w:rsidR="008D3C87" w:rsidRPr="00D27684" w:rsidRDefault="001A057D">
      <w:pPr>
        <w:pStyle w:val="StatementText"/>
        <w:numPr>
          <w:ilvl w:val="0"/>
          <w:numId w:val="1"/>
        </w:numPr>
        <w:tabs>
          <w:tab w:val="left" w:pos="3240"/>
        </w:tabs>
        <w:ind w:left="360"/>
      </w:pPr>
      <w:r w:rsidRPr="00D27684">
        <w:t xml:space="preserve">be aware of health disparities in the older adult, minority racial and ethnic groups, lower socioeconomic </w:t>
      </w:r>
      <w:r w:rsidR="00D27684" w:rsidRPr="00D27684">
        <w:t>groups,</w:t>
      </w:r>
      <w:r w:rsidRPr="00D27684">
        <w:t xml:space="preserve"> and</w:t>
      </w:r>
      <w:r w:rsidR="00437B87" w:rsidRPr="00D27684">
        <w:t xml:space="preserve"> sexual and gender minorities</w:t>
      </w:r>
      <w:r w:rsidRPr="00D27684">
        <w:t xml:space="preserve"> communities. </w:t>
      </w:r>
    </w:p>
    <w:p w14:paraId="5FBAD9D1" w14:textId="77777777" w:rsidR="008D3C87" w:rsidRPr="00D27684" w:rsidRDefault="008D3C87">
      <w:pPr>
        <w:pStyle w:val="StatementText"/>
        <w:tabs>
          <w:tab w:val="left" w:pos="3240"/>
        </w:tabs>
        <w:ind w:left="466"/>
      </w:pPr>
    </w:p>
    <w:p w14:paraId="6E244F88" w14:textId="77777777" w:rsidR="00FE258F" w:rsidRDefault="00FE258F">
      <w:pPr>
        <w:pStyle w:val="Heading1"/>
        <w:tabs>
          <w:tab w:val="left" w:pos="3240"/>
        </w:tabs>
        <w:spacing w:before="360" w:after="240" w:line="259" w:lineRule="auto"/>
        <w:ind w:left="0"/>
        <w:rPr>
          <w:rFonts w:asciiTheme="minorHAnsi" w:eastAsiaTheme="minorHAnsi" w:hAnsiTheme="minorHAnsi"/>
          <w:caps/>
          <w:sz w:val="22"/>
        </w:rPr>
      </w:pPr>
    </w:p>
    <w:p w14:paraId="1E42FFDE" w14:textId="21D7C81A" w:rsidR="008D3C87" w:rsidRPr="00D27684" w:rsidRDefault="001A057D">
      <w:pPr>
        <w:pStyle w:val="Heading1"/>
        <w:tabs>
          <w:tab w:val="left" w:pos="3240"/>
        </w:tabs>
        <w:spacing w:before="360" w:after="240" w:line="259" w:lineRule="auto"/>
        <w:ind w:left="0"/>
        <w:rPr>
          <w:rFonts w:asciiTheme="minorHAnsi" w:eastAsiaTheme="minorHAnsi" w:hAnsiTheme="minorHAnsi"/>
          <w:caps/>
          <w:sz w:val="22"/>
        </w:rPr>
      </w:pPr>
      <w:r w:rsidRPr="00D27684">
        <w:rPr>
          <w:rFonts w:asciiTheme="minorHAnsi" w:eastAsiaTheme="minorHAnsi" w:hAnsiTheme="minorHAnsi"/>
          <w:caps/>
          <w:sz w:val="22"/>
        </w:rPr>
        <w:lastRenderedPageBreak/>
        <w:t>RATIONALE</w:t>
      </w:r>
    </w:p>
    <w:p w14:paraId="0B5EB26E" w14:textId="77777777" w:rsidR="008D3C87" w:rsidRPr="00D27684" w:rsidRDefault="001A057D">
      <w:pPr>
        <w:tabs>
          <w:tab w:val="left" w:pos="3240"/>
        </w:tabs>
        <w:spacing w:before="240" w:after="160" w:line="259" w:lineRule="auto"/>
        <w:rPr>
          <w:rFonts w:ascii="Arial" w:eastAsiaTheme="minorHAnsi" w:hAnsi="Arial" w:cs="Arial"/>
          <w:sz w:val="20"/>
          <w:szCs w:val="20"/>
        </w:rPr>
      </w:pPr>
      <w:r w:rsidRPr="00D27684">
        <w:rPr>
          <w:rFonts w:ascii="Arial" w:eastAsiaTheme="minorHAnsi" w:hAnsi="Arial" w:cs="Arial"/>
          <w:sz w:val="20"/>
          <w:szCs w:val="20"/>
        </w:rPr>
        <w:t>Older adults (</w:t>
      </w:r>
      <w:proofErr w:type="spellStart"/>
      <w:r w:rsidRPr="00D27684">
        <w:rPr>
          <w:rFonts w:ascii="Arial" w:eastAsiaTheme="minorHAnsi" w:hAnsi="Arial" w:cs="Arial"/>
          <w:sz w:val="20"/>
          <w:szCs w:val="20"/>
        </w:rPr>
        <w:t>ie</w:t>
      </w:r>
      <w:proofErr w:type="spellEnd"/>
      <w:r w:rsidRPr="00D27684">
        <w:rPr>
          <w:rFonts w:ascii="Arial" w:eastAsiaTheme="minorHAnsi" w:hAnsi="Arial" w:cs="Arial"/>
          <w:sz w:val="20"/>
          <w:szCs w:val="20"/>
        </w:rPr>
        <w:t>, people aged 65 years and older) comprised 16% of the US population in 2019, numbering 54.1 million. By the year 2040, it is estimated the older adult population will encompass 21.6% of the population.</w:t>
      </w:r>
      <w:r w:rsidRPr="00D27684">
        <w:rPr>
          <w:rFonts w:ascii="Arial" w:eastAsiaTheme="minorHAnsi" w:hAnsi="Arial" w:cs="Arial"/>
          <w:sz w:val="20"/>
          <w:szCs w:val="20"/>
          <w:vertAlign w:val="superscript"/>
        </w:rPr>
        <w:t>12</w:t>
      </w:r>
      <w:r w:rsidRPr="00D27684">
        <w:rPr>
          <w:rFonts w:ascii="Arial" w:eastAsiaTheme="minorHAnsi" w:hAnsi="Arial" w:cs="Arial"/>
          <w:sz w:val="20"/>
          <w:szCs w:val="20"/>
        </w:rPr>
        <w:t xml:space="preserve"> Older adults account for 40% of inpatient surgery patients and 33% of outpatient surgery patients, and as the older adult population grows, needs for surgical care will continue to rise.</w:t>
      </w:r>
      <w:r w:rsidRPr="00D27684">
        <w:rPr>
          <w:rFonts w:ascii="Arial" w:eastAsiaTheme="minorHAnsi" w:hAnsi="Arial" w:cs="Arial"/>
          <w:sz w:val="20"/>
          <w:szCs w:val="20"/>
          <w:vertAlign w:val="superscript"/>
        </w:rPr>
        <w:t>13</w:t>
      </w:r>
      <w:r w:rsidRPr="00D27684">
        <w:rPr>
          <w:rFonts w:ascii="Arial" w:eastAsiaTheme="minorHAnsi" w:hAnsi="Arial" w:cs="Arial"/>
          <w:sz w:val="20"/>
          <w:szCs w:val="20"/>
        </w:rPr>
        <w:t xml:space="preserve"> The American College of Surgeons and the American Geriatrics Society have developed best practice guidelines for the 65-and-older population to help the perioperative team coordinate complex care and measure their performance using evidence-based standards.</w:t>
      </w:r>
      <w:r w:rsidRPr="00D27684">
        <w:rPr>
          <w:rFonts w:ascii="Arial" w:eastAsiaTheme="minorHAnsi" w:hAnsi="Arial" w:cs="Arial"/>
          <w:sz w:val="20"/>
          <w:szCs w:val="20"/>
          <w:vertAlign w:val="superscript"/>
        </w:rPr>
        <w:t>14</w:t>
      </w:r>
    </w:p>
    <w:p w14:paraId="4AEFE413" w14:textId="77777777" w:rsidR="008D3C87" w:rsidRPr="00D27684" w:rsidRDefault="001A057D">
      <w:pPr>
        <w:tabs>
          <w:tab w:val="left" w:pos="3240"/>
        </w:tabs>
        <w:spacing w:before="240" w:after="160" w:line="259" w:lineRule="auto"/>
        <w:rPr>
          <w:rFonts w:ascii="Arial" w:eastAsiaTheme="minorHAnsi" w:hAnsi="Arial" w:cs="Arial"/>
          <w:sz w:val="20"/>
          <w:szCs w:val="20"/>
        </w:rPr>
      </w:pPr>
      <w:r w:rsidRPr="00D27684">
        <w:rPr>
          <w:rFonts w:ascii="Arial" w:eastAsiaTheme="minorHAnsi" w:hAnsi="Arial" w:cs="Arial"/>
          <w:sz w:val="20"/>
          <w:szCs w:val="20"/>
        </w:rPr>
        <w:t>Older adults have an overall decline in physical function and undergo numerous age-related changes in health that are independent of disease. Frail older adults experience declines in multiple psychosocial systems, which can lead to adverse events.</w:t>
      </w:r>
      <w:r w:rsidRPr="00D27684">
        <w:rPr>
          <w:rFonts w:ascii="Arial" w:eastAsiaTheme="minorHAnsi" w:hAnsi="Arial" w:cs="Arial"/>
          <w:sz w:val="20"/>
          <w:szCs w:val="20"/>
          <w:vertAlign w:val="superscript"/>
        </w:rPr>
        <w:t>15</w:t>
      </w:r>
      <w:r w:rsidRPr="00D27684">
        <w:rPr>
          <w:rFonts w:ascii="Arial" w:eastAsiaTheme="minorHAnsi" w:hAnsi="Arial" w:cs="Arial"/>
          <w:sz w:val="20"/>
          <w:szCs w:val="20"/>
        </w:rPr>
        <w:t xml:space="preserve"> Frailty is associated with postoperative complications including increased risk of mortality, prolonged length of stay, admission to the intensive care unit, and stays in residential facilities.</w:t>
      </w:r>
      <w:r w:rsidRPr="00D27684">
        <w:rPr>
          <w:rFonts w:ascii="Arial" w:eastAsiaTheme="minorHAnsi" w:hAnsi="Arial" w:cs="Arial"/>
          <w:sz w:val="20"/>
          <w:szCs w:val="20"/>
          <w:vertAlign w:val="superscript"/>
        </w:rPr>
        <w:t>16</w:t>
      </w:r>
      <w:r w:rsidRPr="00D27684">
        <w:rPr>
          <w:rFonts w:ascii="Arial" w:eastAsiaTheme="minorHAnsi" w:hAnsi="Arial" w:cs="Arial"/>
          <w:sz w:val="20"/>
          <w:szCs w:val="20"/>
        </w:rPr>
        <w:t xml:space="preserve"> Frailty assessments can assist in preoperative and postoperative mitigation strategies to decrease potential complications.</w:t>
      </w:r>
      <w:r w:rsidRPr="00D27684">
        <w:rPr>
          <w:rFonts w:ascii="Arial" w:eastAsiaTheme="minorHAnsi" w:hAnsi="Arial" w:cs="Arial"/>
          <w:sz w:val="20"/>
          <w:szCs w:val="20"/>
          <w:vertAlign w:val="superscript"/>
        </w:rPr>
        <w:t>17</w:t>
      </w:r>
      <w:r w:rsidRPr="00D27684">
        <w:rPr>
          <w:rFonts w:ascii="Arial" w:eastAsiaTheme="minorHAnsi" w:hAnsi="Arial" w:cs="Arial"/>
          <w:sz w:val="20"/>
          <w:szCs w:val="20"/>
        </w:rPr>
        <w:t xml:space="preserve"> While many frailty assessment tools exist, no gold standard tool has been identified.</w:t>
      </w:r>
      <w:r w:rsidRPr="00D27684">
        <w:rPr>
          <w:rFonts w:ascii="Arial" w:eastAsiaTheme="minorHAnsi" w:hAnsi="Arial" w:cs="Arial"/>
          <w:sz w:val="20"/>
          <w:szCs w:val="20"/>
          <w:vertAlign w:val="superscript"/>
        </w:rPr>
        <w:t>15</w:t>
      </w:r>
      <w:r w:rsidRPr="00D27684">
        <w:rPr>
          <w:rFonts w:ascii="Arial" w:eastAsiaTheme="minorHAnsi" w:hAnsi="Arial" w:cs="Arial"/>
          <w:sz w:val="20"/>
          <w:szCs w:val="20"/>
        </w:rPr>
        <w:t xml:space="preserve"> </w:t>
      </w:r>
    </w:p>
    <w:p w14:paraId="700D9CFE" w14:textId="77777777" w:rsidR="008D3C87" w:rsidRPr="00D27684" w:rsidRDefault="001A057D">
      <w:pPr>
        <w:tabs>
          <w:tab w:val="left" w:pos="3240"/>
        </w:tabs>
        <w:spacing w:before="240" w:after="160" w:line="259" w:lineRule="auto"/>
        <w:rPr>
          <w:rFonts w:ascii="Arial" w:eastAsiaTheme="minorHAnsi" w:hAnsi="Arial" w:cs="Arial"/>
          <w:sz w:val="20"/>
          <w:szCs w:val="20"/>
        </w:rPr>
      </w:pPr>
      <w:r w:rsidRPr="00D27684">
        <w:rPr>
          <w:rFonts w:ascii="Arial" w:eastAsiaTheme="minorHAnsi" w:hAnsi="Arial" w:cs="Arial"/>
          <w:sz w:val="20"/>
          <w:szCs w:val="20"/>
        </w:rPr>
        <w:t>Postoperative delirium, a potential complication, occurs in 11% to 51% of older adult patients and can negatively affect patient safety. Identifying modifiable risks along with preoperative optimization, may positively affect postoperative delirium outcomes.</w:t>
      </w:r>
      <w:r w:rsidRPr="00D27684">
        <w:rPr>
          <w:rFonts w:ascii="Arial" w:eastAsiaTheme="minorHAnsi" w:hAnsi="Arial" w:cs="Arial"/>
          <w:sz w:val="20"/>
          <w:szCs w:val="20"/>
          <w:vertAlign w:val="superscript"/>
        </w:rPr>
        <w:t>18</w:t>
      </w:r>
    </w:p>
    <w:p w14:paraId="554CB249" w14:textId="77777777" w:rsidR="008D3C87" w:rsidRPr="00D27684" w:rsidRDefault="001A057D">
      <w:pPr>
        <w:tabs>
          <w:tab w:val="left" w:pos="3240"/>
        </w:tabs>
        <w:spacing w:before="240" w:after="160" w:line="259" w:lineRule="auto"/>
        <w:rPr>
          <w:rFonts w:ascii="Arial" w:eastAsiaTheme="minorHAnsi" w:hAnsi="Arial" w:cs="Arial"/>
          <w:sz w:val="20"/>
          <w:szCs w:val="20"/>
        </w:rPr>
      </w:pPr>
      <w:r w:rsidRPr="00D27684">
        <w:rPr>
          <w:rFonts w:ascii="Arial" w:eastAsiaTheme="minorHAnsi" w:hAnsi="Arial" w:cs="Arial"/>
          <w:sz w:val="20"/>
          <w:szCs w:val="20"/>
        </w:rPr>
        <w:t>Functional status assessments provide information about the patient’s ability to perform activities of daily living; patients with functional decline and mobility issues are prone to postoperative complications.</w:t>
      </w:r>
      <w:r w:rsidRPr="00D27684">
        <w:rPr>
          <w:rFonts w:ascii="Arial" w:eastAsiaTheme="minorHAnsi" w:hAnsi="Arial" w:cs="Arial"/>
          <w:sz w:val="20"/>
          <w:szCs w:val="20"/>
          <w:vertAlign w:val="superscript"/>
        </w:rPr>
        <w:t>19</w:t>
      </w:r>
      <w:r w:rsidRPr="00D27684">
        <w:rPr>
          <w:rFonts w:ascii="Arial" w:eastAsiaTheme="minorHAnsi" w:hAnsi="Arial" w:cs="Arial"/>
          <w:sz w:val="20"/>
          <w:szCs w:val="20"/>
        </w:rPr>
        <w:t xml:space="preserve"> A new concept—</w:t>
      </w:r>
      <w:proofErr w:type="spellStart"/>
      <w:r w:rsidRPr="00D27684">
        <w:rPr>
          <w:rFonts w:ascii="Arial" w:eastAsiaTheme="minorHAnsi" w:hAnsi="Arial" w:cs="Arial"/>
          <w:sz w:val="20"/>
          <w:szCs w:val="20"/>
        </w:rPr>
        <w:t>prehabilitation</w:t>
      </w:r>
      <w:proofErr w:type="spellEnd"/>
      <w:r w:rsidRPr="00D27684">
        <w:rPr>
          <w:rFonts w:ascii="Arial" w:eastAsiaTheme="minorHAnsi" w:hAnsi="Arial" w:cs="Arial"/>
          <w:sz w:val="20"/>
          <w:szCs w:val="20"/>
        </w:rPr>
        <w:t>, consisting of exercises and treatment of modifiable risks prior to surgery—may improve post-surgical outcomes.</w:t>
      </w:r>
      <w:r w:rsidRPr="00D27684">
        <w:rPr>
          <w:rFonts w:ascii="Arial" w:eastAsiaTheme="minorHAnsi" w:hAnsi="Arial" w:cs="Arial"/>
          <w:sz w:val="20"/>
          <w:szCs w:val="20"/>
          <w:vertAlign w:val="superscript"/>
        </w:rPr>
        <w:t>20</w:t>
      </w:r>
      <w:r w:rsidRPr="00D27684">
        <w:rPr>
          <w:rFonts w:ascii="Arial" w:eastAsiaTheme="minorHAnsi" w:hAnsi="Arial" w:cs="Arial"/>
          <w:sz w:val="20"/>
          <w:szCs w:val="20"/>
        </w:rPr>
        <w:t xml:space="preserve"> The American College of Surgeons Strong for Surgery toolkit aims to optimize patients’ health prior to surgery. The program includes a </w:t>
      </w:r>
      <w:proofErr w:type="spellStart"/>
      <w:r w:rsidRPr="00D27684">
        <w:rPr>
          <w:rFonts w:ascii="Arial" w:eastAsiaTheme="minorHAnsi" w:hAnsi="Arial" w:cs="Arial"/>
          <w:sz w:val="20"/>
          <w:szCs w:val="20"/>
        </w:rPr>
        <w:t>prehabilitation</w:t>
      </w:r>
      <w:proofErr w:type="spellEnd"/>
      <w:r w:rsidRPr="00D27684">
        <w:rPr>
          <w:rFonts w:ascii="Arial" w:eastAsiaTheme="minorHAnsi" w:hAnsi="Arial" w:cs="Arial"/>
          <w:sz w:val="20"/>
          <w:szCs w:val="20"/>
        </w:rPr>
        <w:t xml:space="preserve"> checklist that consists of a screening for frailty/physical limitation, cardiac/pulmonary disease, mobility, and endurance.</w:t>
      </w:r>
      <w:r w:rsidRPr="00D27684">
        <w:rPr>
          <w:rFonts w:ascii="Arial" w:eastAsiaTheme="minorHAnsi" w:hAnsi="Arial" w:cs="Arial"/>
          <w:sz w:val="20"/>
          <w:szCs w:val="20"/>
          <w:vertAlign w:val="superscript"/>
        </w:rPr>
        <w:t>21</w:t>
      </w:r>
      <w:r w:rsidRPr="00D27684">
        <w:rPr>
          <w:rFonts w:ascii="Arial" w:eastAsiaTheme="minorHAnsi" w:hAnsi="Arial" w:cs="Arial"/>
          <w:sz w:val="20"/>
          <w:szCs w:val="20"/>
        </w:rPr>
        <w:t xml:space="preserve"> Referrals to appropriate health care providers may optimize the patient’s postoperative course. </w:t>
      </w:r>
    </w:p>
    <w:p w14:paraId="7A6077A7" w14:textId="77777777" w:rsidR="008D3C87" w:rsidRPr="00D27684" w:rsidRDefault="001A057D">
      <w:pPr>
        <w:tabs>
          <w:tab w:val="left" w:pos="3240"/>
        </w:tabs>
        <w:spacing w:before="240" w:after="160" w:line="259" w:lineRule="auto"/>
        <w:rPr>
          <w:rFonts w:ascii="Arial" w:eastAsiaTheme="minorHAnsi" w:hAnsi="Arial" w:cs="Arial"/>
          <w:sz w:val="20"/>
          <w:szCs w:val="20"/>
        </w:rPr>
      </w:pPr>
      <w:r w:rsidRPr="00D27684">
        <w:rPr>
          <w:rFonts w:ascii="Arial" w:eastAsiaTheme="minorHAnsi" w:hAnsi="Arial" w:cs="Arial"/>
          <w:sz w:val="20"/>
          <w:szCs w:val="20"/>
        </w:rPr>
        <w:t>Health care disparities exist for older adults in minority racial and ethnic groups and lower socioeconomic groups. One in four older adults is a member of a racial or ethnic minority population. One in 10 older adults live below the poverty line; the highest poverty rates are among older Hispanic and African American women who live alone.</w:t>
      </w:r>
      <w:r w:rsidRPr="00D27684">
        <w:rPr>
          <w:rFonts w:ascii="Arial" w:eastAsiaTheme="minorHAnsi" w:hAnsi="Arial" w:cs="Arial"/>
          <w:sz w:val="20"/>
          <w:szCs w:val="20"/>
          <w:vertAlign w:val="superscript"/>
        </w:rPr>
        <w:t>12</w:t>
      </w:r>
      <w:r w:rsidRPr="00D27684">
        <w:rPr>
          <w:rFonts w:ascii="Arial" w:eastAsiaTheme="minorHAnsi" w:hAnsi="Arial" w:cs="Arial"/>
          <w:sz w:val="20"/>
          <w:szCs w:val="20"/>
        </w:rPr>
        <w:t xml:space="preserve"> </w:t>
      </w:r>
    </w:p>
    <w:p w14:paraId="61DB3967" w14:textId="77777777" w:rsidR="008D3C87" w:rsidRPr="00D27684" w:rsidRDefault="001A057D">
      <w:pPr>
        <w:tabs>
          <w:tab w:val="left" w:pos="3240"/>
        </w:tabs>
        <w:spacing w:before="240" w:after="160" w:line="259" w:lineRule="auto"/>
        <w:rPr>
          <w:rFonts w:ascii="Arial" w:eastAsiaTheme="minorHAnsi" w:hAnsi="Arial" w:cs="Arial"/>
          <w:sz w:val="20"/>
          <w:szCs w:val="20"/>
        </w:rPr>
      </w:pPr>
      <w:r w:rsidRPr="00D27684">
        <w:rPr>
          <w:rFonts w:ascii="Arial" w:eastAsiaTheme="minorHAnsi" w:hAnsi="Arial" w:cs="Arial"/>
          <w:sz w:val="20"/>
          <w:szCs w:val="20"/>
        </w:rPr>
        <w:t>Historical biases may cloud professional judgement, leading to inadequate and lower quality care.</w:t>
      </w:r>
      <w:r w:rsidRPr="00D27684">
        <w:rPr>
          <w:rFonts w:ascii="Arial" w:eastAsiaTheme="minorHAnsi" w:hAnsi="Arial" w:cs="Arial"/>
          <w:sz w:val="20"/>
          <w:szCs w:val="20"/>
          <w:vertAlign w:val="superscript"/>
        </w:rPr>
        <w:t>22</w:t>
      </w:r>
      <w:r w:rsidRPr="00D27684">
        <w:rPr>
          <w:rFonts w:ascii="Arial" w:eastAsiaTheme="minorHAnsi" w:hAnsi="Arial" w:cs="Arial"/>
          <w:sz w:val="20"/>
          <w:szCs w:val="20"/>
        </w:rPr>
        <w:t xml:space="preserve"> Biases, prejudice, and stereotyping may consciously or unconsciously influence the provision of care and perpetuate health care disparities.</w:t>
      </w:r>
      <w:r w:rsidRPr="00D27684">
        <w:rPr>
          <w:rFonts w:ascii="Arial" w:eastAsiaTheme="minorHAnsi" w:hAnsi="Arial" w:cs="Arial"/>
          <w:sz w:val="20"/>
          <w:szCs w:val="20"/>
          <w:vertAlign w:val="superscript"/>
        </w:rPr>
        <w:t>23</w:t>
      </w:r>
    </w:p>
    <w:p w14:paraId="32360873" w14:textId="05266FC2" w:rsidR="008D3C87" w:rsidRPr="00D27684" w:rsidRDefault="001A057D">
      <w:pPr>
        <w:tabs>
          <w:tab w:val="left" w:pos="3240"/>
        </w:tabs>
        <w:spacing w:before="240" w:after="160" w:line="259" w:lineRule="auto"/>
        <w:rPr>
          <w:rFonts w:ascii="Arial" w:eastAsiaTheme="minorHAnsi" w:hAnsi="Arial" w:cs="Arial"/>
          <w:sz w:val="20"/>
          <w:szCs w:val="20"/>
        </w:rPr>
      </w:pPr>
      <w:r w:rsidRPr="00D27684">
        <w:rPr>
          <w:rFonts w:ascii="Arial" w:eastAsiaTheme="minorHAnsi" w:hAnsi="Arial" w:cs="Arial"/>
          <w:sz w:val="20"/>
          <w:szCs w:val="20"/>
        </w:rPr>
        <w:t xml:space="preserve">Health care disparities also exist for older adult members </w:t>
      </w:r>
      <w:r w:rsidRPr="00B00644">
        <w:rPr>
          <w:rFonts w:ascii="Arial" w:eastAsiaTheme="minorHAnsi" w:hAnsi="Arial" w:cs="Arial"/>
          <w:sz w:val="20"/>
          <w:szCs w:val="20"/>
        </w:rPr>
        <w:t>of the</w:t>
      </w:r>
      <w:r w:rsidRPr="00410EC0">
        <w:rPr>
          <w:rFonts w:ascii="Arial" w:eastAsiaTheme="minorHAnsi" w:hAnsi="Arial" w:cs="Arial"/>
          <w:sz w:val="20"/>
          <w:szCs w:val="20"/>
        </w:rPr>
        <w:t xml:space="preserve"> </w:t>
      </w:r>
      <w:r w:rsidR="00437B87" w:rsidRPr="00B00644">
        <w:rPr>
          <w:rFonts w:ascii="Arial" w:eastAsiaTheme="minorHAnsi" w:hAnsi="Arial" w:cs="Arial"/>
          <w:sz w:val="20"/>
          <w:szCs w:val="20"/>
        </w:rPr>
        <w:t>sexual</w:t>
      </w:r>
      <w:r w:rsidR="00437B87" w:rsidRPr="00D27684">
        <w:rPr>
          <w:rFonts w:ascii="Arial" w:eastAsiaTheme="minorHAnsi" w:hAnsi="Arial" w:cs="Arial"/>
          <w:sz w:val="20"/>
          <w:szCs w:val="20"/>
        </w:rPr>
        <w:t xml:space="preserve"> and gender minorities</w:t>
      </w:r>
      <w:r w:rsidRPr="00D27684">
        <w:rPr>
          <w:rFonts w:ascii="Arial" w:eastAsiaTheme="minorHAnsi" w:hAnsi="Arial" w:cs="Arial"/>
          <w:sz w:val="20"/>
          <w:szCs w:val="20"/>
        </w:rPr>
        <w:t xml:space="preserve"> community; based on past life experiences, they may withhold information from health care providers. Sensitivity to patients who have gender identity concerns affect the health care screening questions that need to be asked. For example, a man who identifies as a woman may still have a prostate and need screening.</w:t>
      </w:r>
      <w:r w:rsidRPr="00D27684">
        <w:rPr>
          <w:rFonts w:ascii="Arial" w:eastAsiaTheme="minorHAnsi" w:hAnsi="Arial" w:cs="Arial"/>
          <w:sz w:val="20"/>
          <w:szCs w:val="20"/>
          <w:vertAlign w:val="superscript"/>
        </w:rPr>
        <w:t>24</w:t>
      </w:r>
    </w:p>
    <w:p w14:paraId="5DEEEA0F" w14:textId="77777777" w:rsidR="008D3C87" w:rsidRPr="00D27684" w:rsidRDefault="001A057D">
      <w:pPr>
        <w:tabs>
          <w:tab w:val="left" w:pos="3240"/>
        </w:tabs>
        <w:spacing w:before="240" w:after="160" w:line="259" w:lineRule="auto"/>
        <w:rPr>
          <w:rFonts w:ascii="Arial" w:eastAsiaTheme="minorHAnsi" w:hAnsi="Arial" w:cs="Arial"/>
          <w:sz w:val="20"/>
          <w:szCs w:val="20"/>
        </w:rPr>
      </w:pPr>
      <w:r w:rsidRPr="00D27684">
        <w:rPr>
          <w:rFonts w:ascii="Arial" w:eastAsiaTheme="minorHAnsi" w:hAnsi="Arial" w:cs="Arial"/>
          <w:sz w:val="20"/>
          <w:szCs w:val="20"/>
        </w:rPr>
        <w:t>The domains of the Perioperative Patient Focused Model (</w:t>
      </w:r>
      <w:proofErr w:type="spellStart"/>
      <w:r w:rsidRPr="00D27684">
        <w:rPr>
          <w:rFonts w:ascii="Arial" w:eastAsiaTheme="minorHAnsi" w:hAnsi="Arial" w:cs="Arial"/>
          <w:sz w:val="20"/>
          <w:szCs w:val="20"/>
        </w:rPr>
        <w:t>ie</w:t>
      </w:r>
      <w:proofErr w:type="spellEnd"/>
      <w:r w:rsidRPr="00D27684">
        <w:rPr>
          <w:rFonts w:ascii="Arial" w:eastAsiaTheme="minorHAnsi" w:hAnsi="Arial" w:cs="Arial"/>
          <w:sz w:val="20"/>
          <w:szCs w:val="20"/>
        </w:rPr>
        <w:t>, safety, physiological responses, behavioral responses of the patient and designated support person[s])</w:t>
      </w:r>
      <w:r w:rsidRPr="00D27684">
        <w:rPr>
          <w:rFonts w:ascii="Arial" w:eastAsiaTheme="minorHAnsi" w:hAnsi="Arial" w:cs="Arial"/>
          <w:sz w:val="20"/>
          <w:szCs w:val="20"/>
          <w:vertAlign w:val="superscript"/>
        </w:rPr>
        <w:t>25</w:t>
      </w:r>
      <w:r w:rsidRPr="00D27684">
        <w:rPr>
          <w:rFonts w:ascii="Arial" w:eastAsiaTheme="minorHAnsi" w:hAnsi="Arial" w:cs="Arial"/>
          <w:sz w:val="20"/>
          <w:szCs w:val="20"/>
        </w:rPr>
        <w:t xml:space="preserve"> can be used to guide care and help achieve optimal outcomes for older adults. Following are examples relevant to each domain for perioperative RNs to consider when caring for older adults.</w:t>
      </w:r>
    </w:p>
    <w:p w14:paraId="1FF06AED" w14:textId="77777777" w:rsidR="00FE258F" w:rsidRDefault="00FE258F">
      <w:pPr>
        <w:pStyle w:val="Heading20"/>
        <w:tabs>
          <w:tab w:val="left" w:pos="3240"/>
        </w:tabs>
      </w:pPr>
    </w:p>
    <w:p w14:paraId="5056D138" w14:textId="77777777" w:rsidR="00FE258F" w:rsidRDefault="00FE258F">
      <w:pPr>
        <w:pStyle w:val="Heading20"/>
        <w:tabs>
          <w:tab w:val="left" w:pos="3240"/>
        </w:tabs>
      </w:pPr>
    </w:p>
    <w:p w14:paraId="319629D3" w14:textId="6542D79F" w:rsidR="008D3C87" w:rsidRPr="00D27684" w:rsidRDefault="001A057D">
      <w:pPr>
        <w:pStyle w:val="Heading20"/>
        <w:tabs>
          <w:tab w:val="left" w:pos="3240"/>
        </w:tabs>
      </w:pPr>
      <w:r w:rsidRPr="00D27684">
        <w:lastRenderedPageBreak/>
        <w:t>Safety</w:t>
      </w:r>
    </w:p>
    <w:p w14:paraId="68CF5E77" w14:textId="77777777" w:rsidR="008D3C87" w:rsidRPr="00D27684" w:rsidRDefault="001A057D">
      <w:pPr>
        <w:pStyle w:val="StatementText"/>
        <w:numPr>
          <w:ilvl w:val="0"/>
          <w:numId w:val="1"/>
        </w:numPr>
        <w:tabs>
          <w:tab w:val="left" w:pos="3240"/>
        </w:tabs>
        <w:spacing w:before="0"/>
        <w:ind w:left="360"/>
      </w:pPr>
      <w:r w:rsidRPr="00D27684">
        <w:t>Cognitive decline may limit an older adult’s ability to participate in the perioperative process.</w:t>
      </w:r>
      <w:r w:rsidRPr="00D27684">
        <w:rPr>
          <w:vertAlign w:val="superscript"/>
        </w:rPr>
        <w:t>6,26</w:t>
      </w:r>
    </w:p>
    <w:p w14:paraId="7667DAC3" w14:textId="77777777" w:rsidR="008D3C87" w:rsidRPr="00D27684" w:rsidRDefault="001A057D">
      <w:pPr>
        <w:pStyle w:val="StatementText"/>
        <w:numPr>
          <w:ilvl w:val="0"/>
          <w:numId w:val="1"/>
        </w:numPr>
        <w:tabs>
          <w:tab w:val="left" w:pos="3240"/>
        </w:tabs>
        <w:ind w:left="360"/>
      </w:pPr>
      <w:r w:rsidRPr="00D27684">
        <w:t>Delirium, dementia, and depression have been shown to increase the risk of postoperative complications and mortality.</w:t>
      </w:r>
      <w:r w:rsidRPr="00D27684">
        <w:rPr>
          <w:vertAlign w:val="superscript"/>
        </w:rPr>
        <w:t>19</w:t>
      </w:r>
    </w:p>
    <w:p w14:paraId="09405B63" w14:textId="77777777" w:rsidR="008D3C87" w:rsidRPr="00D27684" w:rsidRDefault="001A057D">
      <w:pPr>
        <w:pStyle w:val="StatementText"/>
        <w:numPr>
          <w:ilvl w:val="0"/>
          <w:numId w:val="1"/>
        </w:numPr>
        <w:tabs>
          <w:tab w:val="left" w:pos="3240"/>
        </w:tabs>
        <w:ind w:left="360"/>
      </w:pPr>
      <w:r w:rsidRPr="00D27684">
        <w:t>Dementia prevalence increases with age and is the strongest independent risk factor for developing postoperative delirium.</w:t>
      </w:r>
    </w:p>
    <w:p w14:paraId="04FE91DA" w14:textId="77777777" w:rsidR="008D3C87" w:rsidRPr="00D27684" w:rsidRDefault="001A057D">
      <w:pPr>
        <w:pStyle w:val="StatementText"/>
        <w:numPr>
          <w:ilvl w:val="0"/>
          <w:numId w:val="1"/>
        </w:numPr>
        <w:tabs>
          <w:tab w:val="left" w:pos="3240"/>
        </w:tabs>
        <w:ind w:left="360"/>
      </w:pPr>
      <w:r w:rsidRPr="00D27684">
        <w:t>Fragility places older patients at risk for poor outcomes and functional decline.</w:t>
      </w:r>
    </w:p>
    <w:p w14:paraId="352E041B" w14:textId="77777777" w:rsidR="008D3C87" w:rsidRPr="00D27684" w:rsidRDefault="001A057D">
      <w:pPr>
        <w:pStyle w:val="StatementText"/>
        <w:numPr>
          <w:ilvl w:val="0"/>
          <w:numId w:val="1"/>
        </w:numPr>
        <w:tabs>
          <w:tab w:val="left" w:pos="3240"/>
        </w:tabs>
        <w:ind w:left="360"/>
      </w:pPr>
      <w:r w:rsidRPr="00D27684">
        <w:t xml:space="preserve">Polypharmacy alone is a risk factor for poor outcomes.  It is critical to perform a comprehensive medication reconciliation to eliminate duplicate or unneeded medications. </w:t>
      </w:r>
    </w:p>
    <w:p w14:paraId="41604438" w14:textId="77777777" w:rsidR="008D3C87" w:rsidRPr="00D27684" w:rsidRDefault="001A057D">
      <w:pPr>
        <w:pStyle w:val="StatementText"/>
        <w:numPr>
          <w:ilvl w:val="0"/>
          <w:numId w:val="1"/>
        </w:numPr>
        <w:tabs>
          <w:tab w:val="left" w:pos="3240"/>
        </w:tabs>
        <w:ind w:left="360"/>
      </w:pPr>
      <w:r w:rsidRPr="00D27684">
        <w:t>Musculoskeletal changes, including loss of muscle mass, diminished muscle strength, postural changes, decreased range of motion, and slowed reaction time, contribute to difficulties in maintaining balance or regaining balance, increasing the risk for a fall and for postoperative pain and discomfort from surgical positioning.</w:t>
      </w:r>
      <w:r w:rsidRPr="00D27684">
        <w:rPr>
          <w:vertAlign w:val="superscript"/>
        </w:rPr>
        <w:t>10</w:t>
      </w:r>
    </w:p>
    <w:p w14:paraId="2525EBF7" w14:textId="77777777" w:rsidR="008D3C87" w:rsidRPr="00D27684" w:rsidRDefault="001A057D">
      <w:pPr>
        <w:pStyle w:val="StatementText"/>
        <w:numPr>
          <w:ilvl w:val="0"/>
          <w:numId w:val="1"/>
        </w:numPr>
        <w:tabs>
          <w:tab w:val="left" w:pos="3240"/>
        </w:tabs>
        <w:ind w:left="360"/>
      </w:pPr>
      <w:r w:rsidRPr="00D27684">
        <w:t>Changes in the integumentary system include risk of skin tears, bruising, and pressure ulcers.</w:t>
      </w:r>
      <w:r w:rsidRPr="00D27684">
        <w:rPr>
          <w:vertAlign w:val="superscript"/>
        </w:rPr>
        <w:t>27</w:t>
      </w:r>
    </w:p>
    <w:p w14:paraId="3ADA317B" w14:textId="77777777" w:rsidR="008D3C87" w:rsidRPr="00D27684" w:rsidRDefault="001A057D">
      <w:pPr>
        <w:pStyle w:val="StatementText"/>
        <w:numPr>
          <w:ilvl w:val="0"/>
          <w:numId w:val="1"/>
        </w:numPr>
        <w:tabs>
          <w:tab w:val="left" w:pos="3240"/>
        </w:tabs>
        <w:ind w:left="360"/>
      </w:pPr>
      <w:r w:rsidRPr="00D27684">
        <w:t>A decline in functional status may extend recovery needs.</w:t>
      </w:r>
      <w:r w:rsidRPr="00D27684">
        <w:rPr>
          <w:vertAlign w:val="superscript"/>
        </w:rPr>
        <w:t>28,29</w:t>
      </w:r>
    </w:p>
    <w:p w14:paraId="5FA911D9" w14:textId="77777777" w:rsidR="008D3C87" w:rsidRPr="00D27684" w:rsidRDefault="001A057D">
      <w:pPr>
        <w:pStyle w:val="StatementText"/>
        <w:numPr>
          <w:ilvl w:val="0"/>
          <w:numId w:val="1"/>
        </w:numPr>
        <w:tabs>
          <w:tab w:val="left" w:pos="3240"/>
        </w:tabs>
        <w:ind w:left="360"/>
      </w:pPr>
      <w:r w:rsidRPr="00D27684">
        <w:t>Signs of elder abuse may be observed in a number of manifestations. Signs include but are not limited to bed sores, burns, bruises, and malnutrition. Emotional signs may include agitation or depression. Neglect may be identified because the patient is unbathed or is wearing dirty clothes.</w:t>
      </w:r>
      <w:r w:rsidRPr="00D27684">
        <w:rPr>
          <w:vertAlign w:val="superscript"/>
        </w:rPr>
        <w:t>30</w:t>
      </w:r>
    </w:p>
    <w:p w14:paraId="741EADB0" w14:textId="77777777" w:rsidR="008D3C87" w:rsidRPr="00D27684" w:rsidRDefault="001A057D">
      <w:pPr>
        <w:pStyle w:val="Heading20"/>
        <w:tabs>
          <w:tab w:val="left" w:pos="3240"/>
        </w:tabs>
      </w:pPr>
      <w:r w:rsidRPr="00D27684">
        <w:t>Physiological Responses</w:t>
      </w:r>
    </w:p>
    <w:p w14:paraId="57FA1C71" w14:textId="77777777" w:rsidR="008D3C87" w:rsidRPr="00D27684" w:rsidRDefault="001A057D">
      <w:pPr>
        <w:pStyle w:val="StatementText"/>
        <w:numPr>
          <w:ilvl w:val="0"/>
          <w:numId w:val="1"/>
        </w:numPr>
        <w:tabs>
          <w:tab w:val="left" w:pos="3240"/>
        </w:tabs>
        <w:ind w:left="360"/>
      </w:pPr>
      <w:r w:rsidRPr="00D27684">
        <w:t>Pain is a risk factor for delirium, but use of opioids and constipation are also delirium triggers.</w:t>
      </w:r>
    </w:p>
    <w:p w14:paraId="3121FD48" w14:textId="77777777" w:rsidR="008D3C87" w:rsidRPr="00D27684" w:rsidRDefault="001A057D">
      <w:pPr>
        <w:pStyle w:val="StatementText"/>
        <w:numPr>
          <w:ilvl w:val="0"/>
          <w:numId w:val="1"/>
        </w:numPr>
        <w:tabs>
          <w:tab w:val="left" w:pos="3240"/>
        </w:tabs>
        <w:ind w:left="360"/>
      </w:pPr>
      <w:r w:rsidRPr="00D27684">
        <w:t>The risk for falls increases as a result of cognitive impairment, frailty, and use of high-risk medications.</w:t>
      </w:r>
      <w:r w:rsidRPr="00D27684">
        <w:rPr>
          <w:vertAlign w:val="superscript"/>
        </w:rPr>
        <w:t>29</w:t>
      </w:r>
    </w:p>
    <w:p w14:paraId="7FFE9203" w14:textId="77777777" w:rsidR="008D3C87" w:rsidRPr="00D27684" w:rsidRDefault="001A057D">
      <w:pPr>
        <w:pStyle w:val="StatementText"/>
        <w:numPr>
          <w:ilvl w:val="0"/>
          <w:numId w:val="1"/>
        </w:numPr>
        <w:tabs>
          <w:tab w:val="left" w:pos="3240"/>
        </w:tabs>
        <w:ind w:left="360"/>
      </w:pPr>
      <w:r w:rsidRPr="00D27684">
        <w:t>Chronic conditions in the older adult influence the perioperative experience from preoperative assessment to intraoperative care to postoperative recovery.</w:t>
      </w:r>
      <w:r w:rsidRPr="00D27684">
        <w:rPr>
          <w:vertAlign w:val="superscript"/>
        </w:rPr>
        <w:t>8,31</w:t>
      </w:r>
    </w:p>
    <w:p w14:paraId="64347BA4" w14:textId="3ECD7DED" w:rsidR="008D3C87" w:rsidRPr="00D27684" w:rsidRDefault="001A057D">
      <w:pPr>
        <w:pStyle w:val="StatementText"/>
        <w:numPr>
          <w:ilvl w:val="0"/>
          <w:numId w:val="1"/>
        </w:numPr>
        <w:tabs>
          <w:tab w:val="left" w:pos="3240"/>
        </w:tabs>
        <w:ind w:left="360"/>
      </w:pPr>
      <w:r w:rsidRPr="00D27684">
        <w:t>Difficulty maintaining homeostasis (</w:t>
      </w:r>
      <w:r w:rsidR="00FE258F" w:rsidRPr="00D27684">
        <w:t>i.e.</w:t>
      </w:r>
      <w:r w:rsidRPr="00D27684">
        <w:t>, a physiological state of equilibrium) increases the risk of hypothermia, hypoglycemia, and anemia.</w:t>
      </w:r>
      <w:r w:rsidRPr="00D27684">
        <w:rPr>
          <w:vertAlign w:val="superscript"/>
        </w:rPr>
        <w:t>32</w:t>
      </w:r>
    </w:p>
    <w:p w14:paraId="4C783AD6" w14:textId="77777777" w:rsidR="008D3C87" w:rsidRPr="00D27684" w:rsidRDefault="001A057D">
      <w:pPr>
        <w:pStyle w:val="StatementText"/>
        <w:numPr>
          <w:ilvl w:val="0"/>
          <w:numId w:val="1"/>
        </w:numPr>
        <w:tabs>
          <w:tab w:val="left" w:pos="3240"/>
        </w:tabs>
        <w:ind w:left="360"/>
      </w:pPr>
      <w:r w:rsidRPr="00D27684">
        <w:t>Slowing respiratory function, impaired functional reserve of the pulmonary system, and decreased cough reflex increase the risk for aspiration, infection, and bronchospasm. Risk factors include underlying lung disease, smoking history, and undergoing general anesthesia.</w:t>
      </w:r>
      <w:r w:rsidRPr="00D27684">
        <w:rPr>
          <w:vertAlign w:val="superscript"/>
        </w:rPr>
        <w:t>33</w:t>
      </w:r>
    </w:p>
    <w:p w14:paraId="3B76120A" w14:textId="77777777" w:rsidR="008D3C87" w:rsidRPr="00D27684" w:rsidRDefault="001A057D">
      <w:pPr>
        <w:pStyle w:val="StatementText"/>
        <w:numPr>
          <w:ilvl w:val="0"/>
          <w:numId w:val="1"/>
        </w:numPr>
        <w:tabs>
          <w:tab w:val="left" w:pos="3240"/>
        </w:tabs>
        <w:ind w:left="360"/>
      </w:pPr>
      <w:r w:rsidRPr="00D27684">
        <w:t>Thinness of the skin and small vessel fragility create an increased risk for bruising and hemorrhaging.</w:t>
      </w:r>
      <w:r w:rsidRPr="00D27684">
        <w:rPr>
          <w:vertAlign w:val="superscript"/>
        </w:rPr>
        <w:t>8</w:t>
      </w:r>
    </w:p>
    <w:p w14:paraId="3B9ECB7F" w14:textId="77777777" w:rsidR="008D3C87" w:rsidRPr="00D27684" w:rsidRDefault="001A057D">
      <w:pPr>
        <w:pStyle w:val="StatementText"/>
        <w:numPr>
          <w:ilvl w:val="0"/>
          <w:numId w:val="2"/>
        </w:numPr>
        <w:tabs>
          <w:tab w:val="left" w:pos="3240"/>
        </w:tabs>
      </w:pPr>
      <w:r w:rsidRPr="00D27684">
        <w:lastRenderedPageBreak/>
        <w:t>Osteoporosis is a common skeletal change, and risk for fractures doubles every 5 years after 50 years of age.</w:t>
      </w:r>
      <w:r w:rsidRPr="00D27684">
        <w:rPr>
          <w:vertAlign w:val="superscript"/>
        </w:rPr>
        <w:t>8</w:t>
      </w:r>
      <w:r w:rsidRPr="00D27684">
        <w:t xml:space="preserve"> </w:t>
      </w:r>
    </w:p>
    <w:p w14:paraId="55F19403" w14:textId="419E111F" w:rsidR="008D3C87" w:rsidRPr="00D27684" w:rsidRDefault="001A057D">
      <w:pPr>
        <w:pStyle w:val="StatementText"/>
        <w:numPr>
          <w:ilvl w:val="0"/>
          <w:numId w:val="1"/>
        </w:numPr>
        <w:tabs>
          <w:tab w:val="left" w:pos="3240"/>
        </w:tabs>
        <w:ind w:left="360"/>
      </w:pPr>
      <w:r w:rsidRPr="00D27684">
        <w:t>Age-related pathophysiological changes (eg, reduced glomerular filtration rate, reduced total body water, renal senescence [</w:t>
      </w:r>
      <w:r w:rsidR="00FE258F" w:rsidRPr="00D27684">
        <w:t>i.e.</w:t>
      </w:r>
      <w:r w:rsidRPr="00D27684">
        <w:t>, aging]) predispose older adults to impaired medication excretion and to fluid and electrolyte abnormalities.</w:t>
      </w:r>
      <w:r w:rsidRPr="00D27684">
        <w:rPr>
          <w:vertAlign w:val="superscript"/>
        </w:rPr>
        <w:t>30,33,34</w:t>
      </w:r>
    </w:p>
    <w:p w14:paraId="2FC81EDE" w14:textId="77777777" w:rsidR="008D3C87" w:rsidRPr="00D27684" w:rsidRDefault="001A057D">
      <w:pPr>
        <w:pStyle w:val="StatementText"/>
        <w:numPr>
          <w:ilvl w:val="0"/>
          <w:numId w:val="1"/>
        </w:numPr>
        <w:tabs>
          <w:tab w:val="left" w:pos="3240"/>
        </w:tabs>
        <w:ind w:left="360"/>
      </w:pPr>
      <w:r w:rsidRPr="00D27684">
        <w:t>Some patients will restrict fluids to avoid incontinence issues. Dehydration and fluid imbalance necessitate individual considerations for hydration status while the patient is NPO.</w:t>
      </w:r>
      <w:r w:rsidRPr="00D27684">
        <w:rPr>
          <w:vertAlign w:val="superscript"/>
        </w:rPr>
        <w:t>30,33</w:t>
      </w:r>
    </w:p>
    <w:p w14:paraId="2B54F414" w14:textId="77777777" w:rsidR="008D3C87" w:rsidRPr="00D27684" w:rsidRDefault="001A057D">
      <w:pPr>
        <w:pStyle w:val="StatementText"/>
        <w:numPr>
          <w:ilvl w:val="0"/>
          <w:numId w:val="1"/>
        </w:numPr>
        <w:tabs>
          <w:tab w:val="left" w:pos="3240"/>
        </w:tabs>
        <w:ind w:left="360"/>
      </w:pPr>
      <w:r w:rsidRPr="00D27684">
        <w:t>Reduced bladder elasticity and innervation and decreased bladder capacity increase the risk for urgency and urinary tract infections.</w:t>
      </w:r>
      <w:r w:rsidRPr="00D27684">
        <w:rPr>
          <w:vertAlign w:val="superscript"/>
        </w:rPr>
        <w:t>33</w:t>
      </w:r>
    </w:p>
    <w:p w14:paraId="75247D67" w14:textId="77777777" w:rsidR="008D3C87" w:rsidRPr="00D27684" w:rsidRDefault="001A057D">
      <w:pPr>
        <w:pStyle w:val="StatementText"/>
        <w:numPr>
          <w:ilvl w:val="0"/>
          <w:numId w:val="1"/>
        </w:numPr>
        <w:tabs>
          <w:tab w:val="left" w:pos="3240"/>
        </w:tabs>
        <w:ind w:left="360"/>
      </w:pPr>
      <w:r w:rsidRPr="00D27684">
        <w:t>An enlarged prostate increases the risk for injury during bladder catheterization in older adult men.</w:t>
      </w:r>
      <w:r w:rsidRPr="00D27684">
        <w:rPr>
          <w:vertAlign w:val="superscript"/>
        </w:rPr>
        <w:t>8,31</w:t>
      </w:r>
    </w:p>
    <w:p w14:paraId="13EBC5F7" w14:textId="77777777" w:rsidR="008D3C87" w:rsidRPr="00D27684" w:rsidRDefault="001A057D">
      <w:pPr>
        <w:pStyle w:val="StatementText"/>
        <w:numPr>
          <w:ilvl w:val="0"/>
          <w:numId w:val="2"/>
        </w:numPr>
        <w:tabs>
          <w:tab w:val="left" w:pos="3240"/>
        </w:tabs>
      </w:pPr>
      <w:r w:rsidRPr="00D27684">
        <w:t>Decreased appetite is common because older adults have fewer taste receptors.</w:t>
      </w:r>
    </w:p>
    <w:p w14:paraId="57165DC9" w14:textId="77777777" w:rsidR="008D3C87" w:rsidRPr="00D27684" w:rsidRDefault="001A057D">
      <w:pPr>
        <w:pStyle w:val="StatementText"/>
        <w:numPr>
          <w:ilvl w:val="0"/>
          <w:numId w:val="2"/>
        </w:numPr>
        <w:tabs>
          <w:tab w:val="left" w:pos="3240"/>
        </w:tabs>
      </w:pPr>
      <w:r w:rsidRPr="00D27684">
        <w:t>Gastric emptying may be delayed, which increases the risk for gastroesophageal reflux disease.</w:t>
      </w:r>
      <w:r w:rsidRPr="00D27684">
        <w:rPr>
          <w:vertAlign w:val="superscript"/>
        </w:rPr>
        <w:t>33</w:t>
      </w:r>
    </w:p>
    <w:p w14:paraId="1018C5AF" w14:textId="77777777" w:rsidR="008D3C87" w:rsidRPr="00D27684" w:rsidRDefault="001A057D">
      <w:pPr>
        <w:pStyle w:val="StatementText"/>
        <w:numPr>
          <w:ilvl w:val="0"/>
          <w:numId w:val="2"/>
        </w:numPr>
        <w:tabs>
          <w:tab w:val="left" w:pos="3240"/>
        </w:tabs>
      </w:pPr>
      <w:r w:rsidRPr="00D27684">
        <w:t>Thermoregulatory decline places older adults at risk for hypothermia.</w:t>
      </w:r>
      <w:r w:rsidRPr="00D27684">
        <w:rPr>
          <w:vertAlign w:val="superscript"/>
        </w:rPr>
        <w:t>33,35</w:t>
      </w:r>
    </w:p>
    <w:p w14:paraId="21648000" w14:textId="77777777" w:rsidR="008D3C87" w:rsidRPr="00D27684" w:rsidRDefault="001A057D">
      <w:pPr>
        <w:pStyle w:val="StatementText"/>
        <w:numPr>
          <w:ilvl w:val="0"/>
          <w:numId w:val="1"/>
        </w:numPr>
        <w:tabs>
          <w:tab w:val="left" w:pos="3240"/>
        </w:tabs>
        <w:ind w:left="360"/>
      </w:pPr>
      <w:r w:rsidRPr="00D27684">
        <w:t>Neurological changes may be seen as decreased pain, temperature receptors, or tactile receptors.</w:t>
      </w:r>
      <w:r w:rsidRPr="00D27684">
        <w:rPr>
          <w:vertAlign w:val="superscript"/>
        </w:rPr>
        <w:t>8,33</w:t>
      </w:r>
    </w:p>
    <w:p w14:paraId="278F4709" w14:textId="77777777" w:rsidR="008D3C87" w:rsidRPr="00D27684" w:rsidRDefault="001A057D">
      <w:pPr>
        <w:pStyle w:val="StatementText"/>
        <w:numPr>
          <w:ilvl w:val="0"/>
          <w:numId w:val="1"/>
        </w:numPr>
        <w:tabs>
          <w:tab w:val="left" w:pos="3240"/>
        </w:tabs>
        <w:ind w:left="360"/>
      </w:pPr>
      <w:r w:rsidRPr="00D27684">
        <w:t>Age-related impaired immune response, decreased respiratory activity, reduced ability to expel secretions from the lungs, and a tendency for urinary retention contribute to a higher risk for infections in older adults.</w:t>
      </w:r>
      <w:r w:rsidRPr="00D27684">
        <w:rPr>
          <w:vertAlign w:val="superscript"/>
        </w:rPr>
        <w:t>33</w:t>
      </w:r>
    </w:p>
    <w:p w14:paraId="3EA4DF3D" w14:textId="77777777" w:rsidR="008D3C87" w:rsidRPr="00D27684" w:rsidRDefault="001A057D">
      <w:pPr>
        <w:pStyle w:val="StatementText"/>
        <w:numPr>
          <w:ilvl w:val="0"/>
          <w:numId w:val="1"/>
        </w:numPr>
        <w:tabs>
          <w:tab w:val="left" w:pos="3240"/>
        </w:tabs>
        <w:ind w:left="360"/>
      </w:pPr>
      <w:r w:rsidRPr="00D27684">
        <w:t>The high incidence of sepsis in older adults and the failure to show the signs and symptoms of sepsis that lead to delays in diagnosis may increase the risk for morbidity and mortality.</w:t>
      </w:r>
      <w:r w:rsidRPr="00D27684">
        <w:rPr>
          <w:vertAlign w:val="superscript"/>
        </w:rPr>
        <w:t>19,36</w:t>
      </w:r>
      <w:r w:rsidRPr="00D27684">
        <w:t xml:space="preserve"> </w:t>
      </w:r>
    </w:p>
    <w:p w14:paraId="5614FF20" w14:textId="77777777" w:rsidR="008D3C87" w:rsidRPr="00D27684" w:rsidRDefault="001A057D">
      <w:pPr>
        <w:pStyle w:val="StatementText"/>
        <w:numPr>
          <w:ilvl w:val="0"/>
          <w:numId w:val="1"/>
        </w:numPr>
        <w:tabs>
          <w:tab w:val="left" w:pos="3240"/>
        </w:tabs>
        <w:ind w:left="360"/>
      </w:pPr>
      <w:r w:rsidRPr="00D27684">
        <w:t>Sensory changes (eg, hearing and visual impairment) may make interaction and communication difficult.</w:t>
      </w:r>
      <w:r w:rsidRPr="00D27684">
        <w:rPr>
          <w:vertAlign w:val="superscript"/>
        </w:rPr>
        <w:t>6,30</w:t>
      </w:r>
    </w:p>
    <w:p w14:paraId="7E8C51E7" w14:textId="77777777" w:rsidR="008D3C87" w:rsidRPr="00D27684" w:rsidRDefault="001A057D">
      <w:pPr>
        <w:pStyle w:val="Heading20"/>
        <w:tabs>
          <w:tab w:val="left" w:pos="3240"/>
        </w:tabs>
      </w:pPr>
      <w:r w:rsidRPr="00D27684">
        <w:t>Behavioral Responses: Patient and Designated Support Person(s)</w:t>
      </w:r>
    </w:p>
    <w:p w14:paraId="682EFE9B" w14:textId="77777777" w:rsidR="008D3C87" w:rsidRPr="00D27684" w:rsidRDefault="001A057D">
      <w:pPr>
        <w:pStyle w:val="StatementText"/>
        <w:numPr>
          <w:ilvl w:val="0"/>
          <w:numId w:val="1"/>
        </w:numPr>
        <w:tabs>
          <w:tab w:val="left" w:pos="3240"/>
        </w:tabs>
        <w:ind w:left="360"/>
      </w:pPr>
      <w:r w:rsidRPr="00D27684">
        <w:t>A preoperative baseline mental status assessment with appropriate documentation is crucial for determining perioperative cognitive or mental status deficits.</w:t>
      </w:r>
      <w:r w:rsidRPr="00D27684">
        <w:rPr>
          <w:vertAlign w:val="superscript"/>
        </w:rPr>
        <w:t>14</w:t>
      </w:r>
    </w:p>
    <w:p w14:paraId="6DEA6B87" w14:textId="77777777" w:rsidR="008D3C87" w:rsidRPr="00D27684" w:rsidRDefault="001A057D">
      <w:pPr>
        <w:pStyle w:val="StatementText"/>
        <w:numPr>
          <w:ilvl w:val="0"/>
          <w:numId w:val="1"/>
        </w:numPr>
        <w:tabs>
          <w:tab w:val="left" w:pos="3240"/>
        </w:tabs>
        <w:ind w:left="360"/>
      </w:pPr>
      <w:r w:rsidRPr="00D27684">
        <w:t>Deficits in cognitive processes may make it necessary to include designated support persons in preoperative and postoperative teaching.</w:t>
      </w:r>
      <w:r w:rsidRPr="00D27684">
        <w:rPr>
          <w:vertAlign w:val="superscript"/>
        </w:rPr>
        <w:t>29,37</w:t>
      </w:r>
    </w:p>
    <w:p w14:paraId="552C1779" w14:textId="77777777" w:rsidR="008D3C87" w:rsidRPr="00D27684" w:rsidRDefault="001A057D">
      <w:pPr>
        <w:pStyle w:val="StatementText"/>
        <w:numPr>
          <w:ilvl w:val="0"/>
          <w:numId w:val="1"/>
        </w:numPr>
        <w:tabs>
          <w:tab w:val="left" w:pos="3240"/>
        </w:tabs>
        <w:ind w:left="360"/>
      </w:pPr>
      <w:r w:rsidRPr="00D27684">
        <w:t>Independence and performance of activities of daily living may be affected during the postoperative recovery, requiring short- or long-term assistance from designated support persons or professional assistive services.</w:t>
      </w:r>
    </w:p>
    <w:p w14:paraId="178D597F" w14:textId="77777777" w:rsidR="008D3C87" w:rsidRPr="00D27684" w:rsidRDefault="001A057D">
      <w:pPr>
        <w:pStyle w:val="StatementText"/>
        <w:numPr>
          <w:ilvl w:val="0"/>
          <w:numId w:val="1"/>
        </w:numPr>
        <w:tabs>
          <w:tab w:val="left" w:pos="3240"/>
        </w:tabs>
        <w:ind w:left="360"/>
      </w:pPr>
      <w:r w:rsidRPr="00D27684">
        <w:t>Depression and dementia are risk factors for postoperative complications (eg, delirium, cognitive dysfunction, impaired wound healing, increased pain severity).</w:t>
      </w:r>
      <w:r w:rsidRPr="00D27684">
        <w:rPr>
          <w:vertAlign w:val="superscript"/>
        </w:rPr>
        <w:t>38</w:t>
      </w:r>
      <w:r w:rsidRPr="00D27684">
        <w:t xml:space="preserve"> Anesthesia; operative and invasive interventions, particularly cardiac and cancer-related surgeries; vulnerability; and frailty may cause or exacerbate depression.</w:t>
      </w:r>
      <w:r w:rsidRPr="00D27684">
        <w:rPr>
          <w:vertAlign w:val="superscript"/>
        </w:rPr>
        <w:t>30,38</w:t>
      </w:r>
    </w:p>
    <w:p w14:paraId="24AF1D21" w14:textId="77777777" w:rsidR="008D3C87" w:rsidRPr="00D27684" w:rsidRDefault="001A057D">
      <w:pPr>
        <w:pStyle w:val="Heading20"/>
        <w:tabs>
          <w:tab w:val="left" w:pos="3240"/>
        </w:tabs>
      </w:pPr>
      <w:r w:rsidRPr="00D27684">
        <w:lastRenderedPageBreak/>
        <w:t>Glossary</w:t>
      </w:r>
    </w:p>
    <w:p w14:paraId="6CFD331B" w14:textId="45337AE1" w:rsidR="008D3C87" w:rsidRPr="00D27684" w:rsidRDefault="001A057D">
      <w:pPr>
        <w:tabs>
          <w:tab w:val="left" w:pos="3240"/>
        </w:tabs>
        <w:spacing w:after="160" w:line="259" w:lineRule="auto"/>
        <w:rPr>
          <w:rFonts w:ascii="Arial" w:eastAsiaTheme="minorHAnsi" w:hAnsi="Arial" w:cs="Arial"/>
          <w:iCs/>
          <w:sz w:val="20"/>
          <w:szCs w:val="20"/>
        </w:rPr>
      </w:pPr>
      <w:r w:rsidRPr="00D27684">
        <w:rPr>
          <w:rFonts w:ascii="Arial" w:eastAsiaTheme="minorHAnsi" w:hAnsi="Arial" w:cs="Arial"/>
          <w:i/>
          <w:sz w:val="20"/>
          <w:szCs w:val="20"/>
        </w:rPr>
        <w:t xml:space="preserve">Polypharmacy: </w:t>
      </w:r>
      <w:r w:rsidRPr="00D27684">
        <w:rPr>
          <w:rFonts w:ascii="Arial" w:eastAsiaTheme="minorHAnsi" w:hAnsi="Arial" w:cs="Arial"/>
          <w:iCs/>
          <w:sz w:val="20"/>
          <w:szCs w:val="20"/>
        </w:rPr>
        <w:t xml:space="preserve">The concurrent use of multiple medications by a patient to treat a single condition or multiple coexisting conditions, which may result in adverse drug interactions. Commonly defined as the use of five or more </w:t>
      </w:r>
      <w:r w:rsidR="00D27684" w:rsidRPr="00D27684">
        <w:rPr>
          <w:rFonts w:ascii="Arial" w:eastAsiaTheme="minorHAnsi" w:hAnsi="Arial" w:cs="Arial"/>
          <w:iCs/>
          <w:sz w:val="20"/>
          <w:szCs w:val="20"/>
        </w:rPr>
        <w:t>medications but</w:t>
      </w:r>
      <w:r w:rsidRPr="00D27684">
        <w:rPr>
          <w:rFonts w:ascii="Arial" w:eastAsiaTheme="minorHAnsi" w:hAnsi="Arial" w:cs="Arial"/>
          <w:iCs/>
          <w:sz w:val="20"/>
          <w:szCs w:val="20"/>
        </w:rPr>
        <w:t xml:space="preserve"> can vary from two to 11 or more concur</w:t>
      </w:r>
      <w:r w:rsidRPr="00D27684">
        <w:rPr>
          <w:rFonts w:ascii="Arial" w:eastAsiaTheme="minorHAnsi" w:hAnsi="Arial" w:cs="Arial"/>
          <w:iCs/>
          <w:sz w:val="20"/>
          <w:szCs w:val="20"/>
        </w:rPr>
        <w:softHyphen/>
        <w:t>rent medications.</w:t>
      </w:r>
      <w:r w:rsidRPr="00D27684">
        <w:rPr>
          <w:rFonts w:ascii="Arial" w:eastAsiaTheme="minorHAnsi" w:hAnsi="Arial" w:cs="Arial"/>
          <w:iCs/>
          <w:sz w:val="20"/>
          <w:szCs w:val="20"/>
          <w:vertAlign w:val="superscript"/>
        </w:rPr>
        <w:t>39</w:t>
      </w:r>
    </w:p>
    <w:p w14:paraId="489E94E2" w14:textId="77777777" w:rsidR="008D3C87" w:rsidRPr="00D27684" w:rsidRDefault="001A057D">
      <w:pPr>
        <w:tabs>
          <w:tab w:val="left" w:pos="3240"/>
        </w:tabs>
        <w:spacing w:before="240" w:after="160" w:line="259" w:lineRule="auto"/>
        <w:rPr>
          <w:rFonts w:ascii="Arial" w:eastAsiaTheme="minorHAnsi" w:hAnsi="Arial"/>
          <w:sz w:val="20"/>
        </w:rPr>
      </w:pPr>
      <w:r w:rsidRPr="00D27684">
        <w:rPr>
          <w:rFonts w:ascii="Arial" w:eastAsiaTheme="minorHAnsi" w:hAnsi="Arial"/>
          <w:i/>
          <w:sz w:val="20"/>
        </w:rPr>
        <w:t>Prehabilitation:</w:t>
      </w:r>
      <w:r w:rsidRPr="00D27684">
        <w:rPr>
          <w:rFonts w:ascii="Arial" w:eastAsiaTheme="minorHAnsi" w:hAnsi="Arial"/>
          <w:sz w:val="20"/>
        </w:rPr>
        <w:t xml:space="preserve"> </w:t>
      </w:r>
      <w:r w:rsidRPr="00D27684">
        <w:rPr>
          <w:rFonts w:ascii="Arial" w:eastAsiaTheme="minorHAnsi" w:hAnsi="Arial" w:cs="Arial"/>
          <w:iCs/>
          <w:sz w:val="20"/>
          <w:szCs w:val="20"/>
        </w:rPr>
        <w:t>“A</w:t>
      </w:r>
      <w:r w:rsidRPr="00D27684">
        <w:rPr>
          <w:rFonts w:ascii="Arial" w:eastAsiaTheme="minorHAnsi" w:hAnsi="Arial"/>
          <w:sz w:val="20"/>
        </w:rPr>
        <w:t xml:space="preserve"> process of improving the functional capability of a patient prior to a surgical procedure so the patient can withstand any postoperative inactivity and associated decline</w:t>
      </w:r>
      <w:r w:rsidRPr="00D27684">
        <w:rPr>
          <w:rFonts w:ascii="Arial" w:eastAsiaTheme="minorHAnsi" w:hAnsi="Arial" w:cs="Arial"/>
          <w:iCs/>
          <w:sz w:val="20"/>
          <w:szCs w:val="20"/>
        </w:rPr>
        <w:t>.”</w:t>
      </w:r>
      <w:r w:rsidRPr="00D27684">
        <w:rPr>
          <w:rFonts w:ascii="Arial" w:eastAsiaTheme="minorHAnsi" w:hAnsi="Arial" w:cs="Arial"/>
          <w:iCs/>
          <w:sz w:val="20"/>
          <w:szCs w:val="20"/>
          <w:vertAlign w:val="superscript"/>
        </w:rPr>
        <w:t>40</w:t>
      </w:r>
      <w:r w:rsidRPr="00D27684">
        <w:rPr>
          <w:rFonts w:ascii="Arial" w:eastAsiaTheme="minorHAnsi" w:hAnsi="Arial" w:cs="Arial"/>
          <w:iCs/>
          <w:sz w:val="20"/>
          <w:szCs w:val="20"/>
        </w:rPr>
        <w:t xml:space="preserve">  </w:t>
      </w:r>
    </w:p>
    <w:p w14:paraId="06C28888" w14:textId="08ADE956" w:rsidR="008D3C87" w:rsidRPr="00D27684" w:rsidRDefault="00AD2B47">
      <w:pPr>
        <w:tabs>
          <w:tab w:val="left" w:pos="3240"/>
        </w:tabs>
        <w:spacing w:before="240" w:after="160" w:line="259" w:lineRule="auto"/>
        <w:rPr>
          <w:rFonts w:ascii="Arial" w:eastAsiaTheme="minorHAnsi" w:hAnsi="Arial"/>
          <w:sz w:val="20"/>
        </w:rPr>
      </w:pPr>
      <w:r>
        <w:rPr>
          <w:rFonts w:ascii="Arial" w:eastAsiaTheme="minorHAnsi" w:hAnsi="Arial" w:cs="Arial"/>
          <w:i/>
          <w:sz w:val="20"/>
          <w:szCs w:val="20"/>
        </w:rPr>
        <w:t xml:space="preserve">LGBTQ+: </w:t>
      </w:r>
      <w:r w:rsidRPr="00D27684">
        <w:rPr>
          <w:rFonts w:ascii="Arial" w:eastAsiaTheme="minorHAnsi" w:hAnsi="Arial" w:cs="Arial"/>
          <w:i/>
          <w:sz w:val="20"/>
          <w:szCs w:val="20"/>
        </w:rPr>
        <w:t>“</w:t>
      </w:r>
      <w:r w:rsidR="001A057D" w:rsidRPr="00D27684">
        <w:rPr>
          <w:rFonts w:ascii="Arial" w:eastAsiaTheme="minorHAnsi" w:hAnsi="Arial" w:cs="Arial"/>
          <w:iCs/>
          <w:sz w:val="20"/>
          <w:szCs w:val="20"/>
        </w:rPr>
        <w:t>An</w:t>
      </w:r>
      <w:r w:rsidR="001A057D" w:rsidRPr="00D27684">
        <w:rPr>
          <w:rFonts w:ascii="Arial" w:eastAsiaTheme="minorHAnsi" w:hAnsi="Arial"/>
          <w:sz w:val="20"/>
        </w:rPr>
        <w:t xml:space="preserve"> umbrella term to describe the lesbian, gay, bisexual, and transgender community. There is no consensus on sole acronym because there may be others (e.g. LGBTQI) to describe the community.”</w:t>
      </w:r>
      <w:r w:rsidR="001A057D" w:rsidRPr="00D27684">
        <w:rPr>
          <w:rFonts w:ascii="Arial" w:eastAsiaTheme="minorHAnsi" w:hAnsi="Arial" w:cs="Arial"/>
          <w:iCs/>
          <w:sz w:val="20"/>
          <w:szCs w:val="20"/>
          <w:vertAlign w:val="superscript"/>
        </w:rPr>
        <w:t>24(p36)</w:t>
      </w:r>
      <w:r w:rsidR="001A057D" w:rsidRPr="00D27684">
        <w:rPr>
          <w:rFonts w:ascii="Arial" w:eastAsiaTheme="minorHAnsi" w:hAnsi="Arial" w:cs="Arial"/>
          <w:iCs/>
          <w:sz w:val="20"/>
          <w:szCs w:val="20"/>
        </w:rPr>
        <w:t xml:space="preserve"> </w:t>
      </w:r>
    </w:p>
    <w:p w14:paraId="6FFC887E" w14:textId="77777777" w:rsidR="008D3C87" w:rsidRPr="00D27684" w:rsidRDefault="001A057D">
      <w:pPr>
        <w:pStyle w:val="Heading20"/>
        <w:tabs>
          <w:tab w:val="left" w:pos="3240"/>
        </w:tabs>
      </w:pPr>
      <w:r w:rsidRPr="00D27684">
        <w:t>References</w:t>
      </w:r>
    </w:p>
    <w:p w14:paraId="460D47BA" w14:textId="77777777" w:rsidR="008D3C87" w:rsidRPr="00D27684" w:rsidRDefault="001A057D">
      <w:pPr>
        <w:pStyle w:val="ListParagraph"/>
        <w:numPr>
          <w:ilvl w:val="0"/>
          <w:numId w:val="3"/>
        </w:numPr>
        <w:tabs>
          <w:tab w:val="left" w:pos="467"/>
        </w:tabs>
        <w:spacing w:before="240" w:after="160" w:line="259" w:lineRule="auto"/>
        <w:ind w:left="360"/>
        <w:rPr>
          <w:rFonts w:ascii="Arial" w:eastAsia="Arial" w:hAnsi="Arial"/>
          <w:sz w:val="20"/>
        </w:rPr>
      </w:pPr>
      <w:r w:rsidRPr="00D27684">
        <w:rPr>
          <w:rFonts w:ascii="Arial" w:eastAsia="Arial" w:hAnsi="Arial"/>
          <w:sz w:val="20"/>
        </w:rPr>
        <w:t xml:space="preserve">Spector RE, Tabloski PA. Cultural diversity. In: Tabloski PA, ed. </w:t>
      </w:r>
      <w:r w:rsidRPr="00D27684">
        <w:rPr>
          <w:rFonts w:ascii="Arial" w:eastAsia="Arial" w:hAnsi="Arial"/>
          <w:i/>
          <w:sz w:val="20"/>
        </w:rPr>
        <w:t>Gerontological Nursing.</w:t>
      </w:r>
      <w:r w:rsidRPr="00D27684">
        <w:rPr>
          <w:rFonts w:ascii="Arial" w:eastAsia="Arial" w:hAnsi="Arial" w:cs="Arial"/>
          <w:i/>
          <w:iCs/>
          <w:sz w:val="20"/>
          <w:szCs w:val="20"/>
        </w:rPr>
        <w:t xml:space="preserve"> </w:t>
      </w:r>
      <w:r w:rsidRPr="00D27684">
        <w:rPr>
          <w:rFonts w:ascii="Arial" w:eastAsia="Arial" w:hAnsi="Arial"/>
          <w:sz w:val="20"/>
        </w:rPr>
        <w:t>Boston, MA: Pearson; 2014:75-95.</w:t>
      </w:r>
    </w:p>
    <w:p w14:paraId="06859173" w14:textId="77777777" w:rsidR="008D3C87" w:rsidRPr="00D27684" w:rsidRDefault="001A057D">
      <w:pPr>
        <w:pStyle w:val="ListParagraph"/>
        <w:numPr>
          <w:ilvl w:val="0"/>
          <w:numId w:val="3"/>
        </w:numPr>
        <w:spacing w:before="240" w:after="160" w:line="259" w:lineRule="auto"/>
        <w:ind w:left="360"/>
        <w:rPr>
          <w:rFonts w:ascii="Arial" w:eastAsia="Arial" w:hAnsi="Arial"/>
          <w:sz w:val="20"/>
        </w:rPr>
      </w:pPr>
      <w:r w:rsidRPr="00D27684">
        <w:rPr>
          <w:rFonts w:ascii="Arial" w:eastAsia="Arial" w:hAnsi="Arial"/>
          <w:sz w:val="20"/>
        </w:rPr>
        <w:t xml:space="preserve">Jett K. Culture, gender, and aging. In: Touhy TA, Jett KF, eds. </w:t>
      </w:r>
      <w:r w:rsidRPr="00D27684">
        <w:rPr>
          <w:rFonts w:ascii="Arial" w:eastAsia="Arial" w:hAnsi="Arial"/>
          <w:i/>
          <w:sz w:val="20"/>
        </w:rPr>
        <w:t xml:space="preserve">Toward Healthy Aging: Human Needs &amp; Nursing Response. </w:t>
      </w:r>
      <w:r w:rsidRPr="00D27684">
        <w:rPr>
          <w:rFonts w:ascii="Arial" w:eastAsia="Arial" w:hAnsi="Arial"/>
          <w:sz w:val="20"/>
        </w:rPr>
        <w:t>8th ed. St Louis, MO: Elsevier/Mosby; 2012:62-80.</w:t>
      </w:r>
    </w:p>
    <w:p w14:paraId="4D29AB50" w14:textId="77777777" w:rsidR="008D3C87" w:rsidRPr="00D27684" w:rsidRDefault="001A057D">
      <w:pPr>
        <w:pStyle w:val="ListParagraph"/>
        <w:numPr>
          <w:ilvl w:val="0"/>
          <w:numId w:val="3"/>
        </w:numPr>
        <w:spacing w:before="240" w:after="160" w:line="259" w:lineRule="auto"/>
        <w:ind w:left="360"/>
      </w:pPr>
      <w:r w:rsidRPr="00D27684">
        <w:rPr>
          <w:rFonts w:ascii="Arial" w:eastAsia="Arial" w:hAnsi="Arial" w:cs="Arial"/>
          <w:sz w:val="20"/>
          <w:szCs w:val="20"/>
        </w:rPr>
        <w:t>Mohanty S, Rosenthal RA, Russell MM, Neuman MD, Ko CY, Esnaola NF.</w:t>
      </w:r>
      <w:r w:rsidRPr="00D27684">
        <w:rPr>
          <w:rFonts w:ascii="Arial" w:eastAsia="Arial" w:hAnsi="Arial"/>
          <w:sz w:val="20"/>
        </w:rPr>
        <w:t xml:space="preserve"> </w:t>
      </w:r>
      <w:r w:rsidRPr="00D27684">
        <w:rPr>
          <w:rFonts w:ascii="Arial" w:eastAsia="Arial" w:hAnsi="Arial"/>
          <w:i/>
          <w:sz w:val="20"/>
        </w:rPr>
        <w:t>Optimal Perioperative Management of the Geriatric Patient: Best Practices Guideline from ACS NSQIP/American Geriatric Society.</w:t>
      </w:r>
      <w:r w:rsidRPr="00D27684">
        <w:rPr>
          <w:rFonts w:ascii="Arial" w:eastAsia="Arial" w:hAnsi="Arial"/>
          <w:sz w:val="20"/>
        </w:rPr>
        <w:t xml:space="preserve"> 2016. </w:t>
      </w:r>
      <w:r w:rsidRPr="00D27684">
        <w:rPr>
          <w:rFonts w:ascii="Arial" w:eastAsia="Arial" w:hAnsi="Arial" w:cs="Arial"/>
          <w:sz w:val="20"/>
          <w:szCs w:val="20"/>
        </w:rPr>
        <w:t xml:space="preserve">Accessed August 3, 2022. </w:t>
      </w:r>
      <w:hyperlink r:id="rId11">
        <w:r w:rsidRPr="00D27684">
          <w:rPr>
            <w:rStyle w:val="ListLabel38"/>
          </w:rPr>
          <w:t>https://www.facs.org/media/y5efmgox/acs-nsqip-geriatric-2016-guidelines.pdf</w:t>
        </w:r>
      </w:hyperlink>
      <w:r w:rsidRPr="00D27684">
        <w:rPr>
          <w:rFonts w:ascii="Arial" w:eastAsia="Arial" w:hAnsi="Arial"/>
          <w:sz w:val="20"/>
        </w:rPr>
        <w:t xml:space="preserve"> </w:t>
      </w:r>
    </w:p>
    <w:p w14:paraId="529E014A" w14:textId="77777777" w:rsidR="008D3C87" w:rsidRPr="00D27684" w:rsidRDefault="001A057D">
      <w:pPr>
        <w:pStyle w:val="ListParagraph"/>
        <w:numPr>
          <w:ilvl w:val="0"/>
          <w:numId w:val="3"/>
        </w:numPr>
        <w:tabs>
          <w:tab w:val="left" w:pos="467"/>
        </w:tabs>
        <w:spacing w:before="240" w:after="160" w:line="259" w:lineRule="auto"/>
        <w:ind w:left="360"/>
        <w:rPr>
          <w:rFonts w:ascii="Arial" w:eastAsia="Arial" w:hAnsi="Arial"/>
          <w:sz w:val="20"/>
        </w:rPr>
      </w:pPr>
      <w:r w:rsidRPr="00D27684">
        <w:rPr>
          <w:rFonts w:ascii="Arial" w:eastAsia="Arial" w:hAnsi="Arial"/>
          <w:sz w:val="20"/>
        </w:rPr>
        <w:t xml:space="preserve">Bashaw M, Scott DN. Surgical risk factors in geriatric perioperative patients. </w:t>
      </w:r>
      <w:r w:rsidRPr="00D27684">
        <w:rPr>
          <w:rFonts w:ascii="Arial" w:eastAsia="Arial" w:hAnsi="Arial"/>
          <w:i/>
          <w:sz w:val="20"/>
        </w:rPr>
        <w:t>AORN J.</w:t>
      </w:r>
      <w:r w:rsidRPr="00D27684">
        <w:rPr>
          <w:rFonts w:ascii="Arial" w:eastAsia="Arial" w:hAnsi="Arial" w:cs="Arial"/>
          <w:sz w:val="20"/>
          <w:szCs w:val="20"/>
        </w:rPr>
        <w:t xml:space="preserve"> </w:t>
      </w:r>
      <w:r w:rsidRPr="00D27684">
        <w:rPr>
          <w:rFonts w:ascii="Arial" w:eastAsia="Arial" w:hAnsi="Arial"/>
          <w:sz w:val="20"/>
        </w:rPr>
        <w:t>2012;96(1):58-74.</w:t>
      </w:r>
    </w:p>
    <w:p w14:paraId="12A45CEF" w14:textId="77777777" w:rsidR="008D3C87" w:rsidRPr="00D27684" w:rsidRDefault="001A057D">
      <w:pPr>
        <w:pStyle w:val="ListParagraph"/>
        <w:numPr>
          <w:ilvl w:val="0"/>
          <w:numId w:val="3"/>
        </w:numPr>
        <w:spacing w:before="240" w:after="160" w:line="259" w:lineRule="auto"/>
        <w:ind w:left="360"/>
        <w:rPr>
          <w:rFonts w:ascii="Arial" w:eastAsia="Arial" w:hAnsi="Arial"/>
          <w:sz w:val="20"/>
        </w:rPr>
      </w:pPr>
      <w:r w:rsidRPr="00D27684">
        <w:rPr>
          <w:rFonts w:ascii="Arial" w:eastAsia="Arial" w:hAnsi="Arial"/>
          <w:sz w:val="20"/>
        </w:rPr>
        <w:t xml:space="preserve">Bettelli G. Preoperative evaluation in geriatric surgery: comorbidity, functional status and pharmacological history. </w:t>
      </w:r>
      <w:r w:rsidRPr="00D27684">
        <w:rPr>
          <w:rFonts w:ascii="Arial" w:eastAsia="Arial" w:hAnsi="Arial"/>
          <w:i/>
          <w:sz w:val="20"/>
        </w:rPr>
        <w:t>Minerva Anestesiol.</w:t>
      </w:r>
      <w:r w:rsidRPr="00D27684">
        <w:rPr>
          <w:rFonts w:ascii="Arial" w:eastAsia="Arial" w:hAnsi="Arial"/>
          <w:sz w:val="20"/>
        </w:rPr>
        <w:t xml:space="preserve"> 2011;77(6):637-646.</w:t>
      </w:r>
    </w:p>
    <w:p w14:paraId="468E09A0" w14:textId="77777777" w:rsidR="008D3C87" w:rsidRPr="00D27684" w:rsidRDefault="001A057D">
      <w:pPr>
        <w:pStyle w:val="ListParagraph"/>
        <w:numPr>
          <w:ilvl w:val="0"/>
          <w:numId w:val="3"/>
        </w:numPr>
        <w:spacing w:before="240" w:after="160" w:line="259" w:lineRule="auto"/>
        <w:ind w:left="360"/>
        <w:rPr>
          <w:rFonts w:ascii="Arial" w:eastAsia="Arial" w:hAnsi="Arial"/>
          <w:sz w:val="20"/>
        </w:rPr>
      </w:pPr>
      <w:r w:rsidRPr="00D27684">
        <w:rPr>
          <w:rFonts w:ascii="Arial" w:eastAsia="Arial" w:hAnsi="Arial"/>
          <w:sz w:val="20"/>
        </w:rPr>
        <w:t xml:space="preserve">Shippee-Rice RV, Long JV, Fetzer SJ. Gerioperative assessment. In: Shippee-Rice RV, Fetzer SJ, Long JV, eds. </w:t>
      </w:r>
      <w:r w:rsidRPr="00D27684">
        <w:rPr>
          <w:rFonts w:ascii="Arial" w:eastAsia="Arial" w:hAnsi="Arial"/>
          <w:i/>
          <w:sz w:val="20"/>
        </w:rPr>
        <w:t>Gerioperative Nursing Care: Principles and Practices of Surgical Care for the Older Adult.</w:t>
      </w:r>
      <w:r w:rsidRPr="00D27684">
        <w:rPr>
          <w:rFonts w:ascii="Arial" w:eastAsia="Arial" w:hAnsi="Arial"/>
          <w:sz w:val="20"/>
        </w:rPr>
        <w:t xml:space="preserve"> New York, NY: Springer; 2012:127-148.</w:t>
      </w:r>
    </w:p>
    <w:p w14:paraId="52141FEE" w14:textId="77777777" w:rsidR="008D3C87" w:rsidRPr="00D27684" w:rsidRDefault="001A057D">
      <w:pPr>
        <w:pStyle w:val="ListParagraph"/>
        <w:numPr>
          <w:ilvl w:val="0"/>
          <w:numId w:val="3"/>
        </w:numPr>
        <w:spacing w:before="240" w:after="160" w:line="259" w:lineRule="auto"/>
        <w:ind w:left="360"/>
        <w:rPr>
          <w:rFonts w:ascii="Arial" w:eastAsia="Arial" w:hAnsi="Arial"/>
          <w:sz w:val="20"/>
        </w:rPr>
      </w:pPr>
      <w:r w:rsidRPr="00D27684">
        <w:rPr>
          <w:rFonts w:ascii="Arial" w:eastAsia="Arial" w:hAnsi="Arial"/>
          <w:sz w:val="20"/>
        </w:rPr>
        <w:t xml:space="preserve">Shippee-Rice RV, Long JV, Fetzer SJ. Gerioperative medication safety. In: Shippee-Rice RV, Fetzer SJ, Long JV, eds. </w:t>
      </w:r>
      <w:r w:rsidRPr="00D27684">
        <w:rPr>
          <w:rFonts w:ascii="Arial" w:eastAsia="Arial" w:hAnsi="Arial"/>
          <w:i/>
          <w:sz w:val="20"/>
        </w:rPr>
        <w:t>Gerioperative Nursing Care: Principles and Practices of Surgical Care for the Older Adult.</w:t>
      </w:r>
      <w:r w:rsidRPr="00D27684">
        <w:rPr>
          <w:rFonts w:ascii="Arial" w:eastAsia="Arial" w:hAnsi="Arial"/>
          <w:sz w:val="20"/>
        </w:rPr>
        <w:t xml:space="preserve"> New York, NY: Springer; 2012:85-106.</w:t>
      </w:r>
    </w:p>
    <w:p w14:paraId="6919E15F" w14:textId="77777777" w:rsidR="008D3C87" w:rsidRPr="00D27684" w:rsidRDefault="001A057D">
      <w:pPr>
        <w:pStyle w:val="ListParagraph"/>
        <w:numPr>
          <w:ilvl w:val="0"/>
          <w:numId w:val="3"/>
        </w:numPr>
        <w:spacing w:before="240" w:after="160" w:line="259" w:lineRule="auto"/>
        <w:ind w:left="360"/>
        <w:rPr>
          <w:rFonts w:ascii="Arial" w:eastAsia="Arial" w:hAnsi="Arial" w:cs="Arial"/>
          <w:sz w:val="20"/>
          <w:szCs w:val="20"/>
        </w:rPr>
      </w:pPr>
      <w:r w:rsidRPr="00D27684">
        <w:rPr>
          <w:rFonts w:ascii="Arial" w:eastAsia="Arial" w:hAnsi="Arial" w:cs="Arial"/>
          <w:sz w:val="20"/>
          <w:szCs w:val="20"/>
        </w:rPr>
        <w:t xml:space="preserve">Allen SL. Geriatric surgery. In: Rothrock JC, McEwen DR, eds. </w:t>
      </w:r>
      <w:r w:rsidRPr="00D27684">
        <w:rPr>
          <w:rFonts w:ascii="Arial" w:eastAsia="Arial" w:hAnsi="Arial" w:cs="Arial"/>
          <w:i/>
          <w:iCs/>
          <w:sz w:val="20"/>
          <w:szCs w:val="20"/>
        </w:rPr>
        <w:t>Alexander’s Care of the Patient in Surgery.</w:t>
      </w:r>
      <w:r w:rsidRPr="00D27684">
        <w:rPr>
          <w:rFonts w:ascii="Arial" w:eastAsia="Arial" w:hAnsi="Arial" w:cs="Arial"/>
          <w:sz w:val="20"/>
          <w:szCs w:val="20"/>
        </w:rPr>
        <w:t xml:space="preserve"> 16th ed. St Louis, MO: Elsevier; 2019:1067-1091.</w:t>
      </w:r>
    </w:p>
    <w:p w14:paraId="20E7F9A4" w14:textId="77777777" w:rsidR="008D3C87" w:rsidRPr="00D27684" w:rsidRDefault="001A057D">
      <w:pPr>
        <w:pStyle w:val="ListParagraph"/>
        <w:numPr>
          <w:ilvl w:val="0"/>
          <w:numId w:val="3"/>
        </w:numPr>
        <w:spacing w:before="240" w:after="160" w:line="259" w:lineRule="auto"/>
        <w:ind w:left="360"/>
        <w:rPr>
          <w:rFonts w:ascii="Arial" w:eastAsia="Arial" w:hAnsi="Arial"/>
          <w:sz w:val="20"/>
        </w:rPr>
      </w:pPr>
      <w:r w:rsidRPr="00D27684">
        <w:rPr>
          <w:rFonts w:ascii="Arial" w:eastAsia="Arial" w:hAnsi="Arial"/>
          <w:sz w:val="20"/>
        </w:rPr>
        <w:t xml:space="preserve">Sofaer S, Schumann MJ. </w:t>
      </w:r>
      <w:r w:rsidRPr="00D27684">
        <w:rPr>
          <w:rFonts w:ascii="Arial" w:eastAsia="Arial" w:hAnsi="Arial"/>
          <w:i/>
          <w:sz w:val="20"/>
        </w:rPr>
        <w:t>Fostering Successful Patient and Family Engagement: Nursing’s Critical Role.</w:t>
      </w:r>
      <w:r w:rsidRPr="00D27684">
        <w:rPr>
          <w:rFonts w:ascii="Arial" w:eastAsia="Arial" w:hAnsi="Arial"/>
          <w:sz w:val="20"/>
        </w:rPr>
        <w:t xml:space="preserve"> </w:t>
      </w:r>
      <w:r w:rsidRPr="00D27684">
        <w:rPr>
          <w:rFonts w:ascii="Arial" w:eastAsia="Arial" w:hAnsi="Arial" w:cs="Arial"/>
          <w:sz w:val="20"/>
          <w:szCs w:val="20"/>
        </w:rPr>
        <w:t xml:space="preserve">American Nurses Association. </w:t>
      </w:r>
      <w:r w:rsidRPr="00D27684">
        <w:rPr>
          <w:rFonts w:ascii="Arial" w:hAnsi="Arial"/>
          <w:sz w:val="20"/>
        </w:rPr>
        <w:t xml:space="preserve">Nursing Alliance for Quality Care. </w:t>
      </w:r>
      <w:r w:rsidRPr="00D27684">
        <w:rPr>
          <w:rFonts w:ascii="Arial" w:eastAsia="Arial" w:hAnsi="Arial"/>
          <w:sz w:val="20"/>
        </w:rPr>
        <w:t xml:space="preserve">March 15, 2013. Accessed </w:t>
      </w:r>
      <w:r w:rsidRPr="00D27684">
        <w:rPr>
          <w:rFonts w:ascii="Arial" w:eastAsia="Arial" w:hAnsi="Arial" w:cs="Arial"/>
          <w:sz w:val="20"/>
          <w:szCs w:val="20"/>
        </w:rPr>
        <w:t xml:space="preserve">August 3, 2022. https://www.nursingworld.org/~4aa949/globalassets/naqc/naqc_patientengagementwhitepaper.pdf </w:t>
      </w:r>
    </w:p>
    <w:p w14:paraId="7E60D347" w14:textId="77777777" w:rsidR="008D3C87" w:rsidRPr="00D27684" w:rsidRDefault="001A057D">
      <w:pPr>
        <w:pStyle w:val="ListParagraph"/>
        <w:numPr>
          <w:ilvl w:val="0"/>
          <w:numId w:val="3"/>
        </w:numPr>
        <w:spacing w:before="240" w:after="160" w:line="259" w:lineRule="auto"/>
        <w:ind w:left="360"/>
        <w:rPr>
          <w:rFonts w:ascii="Arial" w:eastAsia="Arial" w:hAnsi="Arial"/>
          <w:sz w:val="20"/>
        </w:rPr>
      </w:pPr>
      <w:r w:rsidRPr="00D27684">
        <w:rPr>
          <w:rFonts w:ascii="Arial" w:eastAsia="Arial" w:hAnsi="Arial"/>
          <w:sz w:val="20"/>
        </w:rPr>
        <w:t xml:space="preserve">Shippee-Rice RV, Long JV, Fetzer SJ. Musculoskeletal. In: Shippee-Rice RV, Fetzer SJ, Long JV, eds. </w:t>
      </w:r>
      <w:r w:rsidRPr="00D27684">
        <w:rPr>
          <w:rFonts w:ascii="Arial" w:eastAsia="Arial" w:hAnsi="Arial"/>
          <w:i/>
          <w:sz w:val="20"/>
        </w:rPr>
        <w:t xml:space="preserve">Gerioperative Nursing Care: Principles and Practices of Surgical Care for the Older Adult. </w:t>
      </w:r>
      <w:r w:rsidRPr="00D27684">
        <w:rPr>
          <w:rFonts w:ascii="Arial" w:eastAsia="Arial" w:hAnsi="Arial"/>
          <w:sz w:val="20"/>
        </w:rPr>
        <w:t>New York, NY: Springer; 2012:287-318.</w:t>
      </w:r>
    </w:p>
    <w:p w14:paraId="63964EAA" w14:textId="77777777" w:rsidR="008D3C87" w:rsidRPr="00D27684" w:rsidRDefault="001A057D">
      <w:pPr>
        <w:pStyle w:val="ListParagraph"/>
        <w:numPr>
          <w:ilvl w:val="0"/>
          <w:numId w:val="3"/>
        </w:numPr>
        <w:spacing w:before="240" w:after="160" w:line="259" w:lineRule="auto"/>
        <w:ind w:left="360"/>
        <w:rPr>
          <w:rFonts w:ascii="Arial" w:eastAsia="Arial" w:hAnsi="Arial" w:cs="Arial"/>
          <w:sz w:val="20"/>
          <w:szCs w:val="20"/>
        </w:rPr>
      </w:pPr>
      <w:r w:rsidRPr="00D27684">
        <w:rPr>
          <w:rFonts w:ascii="Arial" w:eastAsia="Arial" w:hAnsi="Arial" w:cs="Arial"/>
          <w:i/>
          <w:iCs/>
          <w:sz w:val="20"/>
          <w:szCs w:val="20"/>
        </w:rPr>
        <w:t xml:space="preserve">Gerontological Nursing: Scope and Standards of Practice. </w:t>
      </w:r>
      <w:r w:rsidRPr="00D27684">
        <w:rPr>
          <w:rFonts w:ascii="Arial" w:eastAsia="Arial" w:hAnsi="Arial" w:cs="Arial"/>
          <w:sz w:val="20"/>
          <w:szCs w:val="20"/>
        </w:rPr>
        <w:t>Silver Spring, MD: American Nurses Association; 2010.</w:t>
      </w:r>
    </w:p>
    <w:p w14:paraId="1854C3F9" w14:textId="77777777" w:rsidR="008D3C87" w:rsidRPr="00D27684" w:rsidRDefault="001A057D">
      <w:pPr>
        <w:pStyle w:val="ListParagraph"/>
        <w:numPr>
          <w:ilvl w:val="0"/>
          <w:numId w:val="3"/>
        </w:numPr>
        <w:spacing w:before="240" w:after="160" w:line="259" w:lineRule="auto"/>
        <w:ind w:left="360"/>
      </w:pPr>
      <w:r w:rsidRPr="00D27684">
        <w:rPr>
          <w:rFonts w:ascii="Arial" w:eastAsia="Arial" w:hAnsi="Arial" w:cs="Arial"/>
          <w:i/>
          <w:iCs/>
          <w:sz w:val="20"/>
          <w:szCs w:val="20"/>
        </w:rPr>
        <w:lastRenderedPageBreak/>
        <w:t>2020 Profile of Older Americans.</w:t>
      </w:r>
      <w:r w:rsidRPr="00D27684">
        <w:rPr>
          <w:rFonts w:ascii="Arial" w:eastAsia="Arial" w:hAnsi="Arial" w:cs="Arial"/>
          <w:sz w:val="20"/>
          <w:szCs w:val="20"/>
        </w:rPr>
        <w:t xml:space="preserve"> Administration for Community Living. Published May 2021. Accessed August 3, 2022.</w:t>
      </w:r>
      <w:r w:rsidRPr="00D27684">
        <w:rPr>
          <w:rFonts w:ascii="Arial" w:eastAsia="Arial" w:hAnsi="Arial"/>
          <w:sz w:val="20"/>
        </w:rPr>
        <w:t xml:space="preserve"> </w:t>
      </w:r>
      <w:hyperlink r:id="rId12">
        <w:r w:rsidRPr="00D27684">
          <w:rPr>
            <w:rStyle w:val="ListLabel38"/>
          </w:rPr>
          <w:t>https://acl.gov/sites/default/files/Aging%20and%20Disability%20in%20America/2020ProfileOlderAmericans.Final_.pdf</w:t>
        </w:r>
      </w:hyperlink>
    </w:p>
    <w:p w14:paraId="06EEF6BC" w14:textId="77777777" w:rsidR="008D3C87" w:rsidRPr="00D27684" w:rsidRDefault="001A057D">
      <w:pPr>
        <w:pStyle w:val="ListParagraph"/>
        <w:numPr>
          <w:ilvl w:val="0"/>
          <w:numId w:val="3"/>
        </w:numPr>
        <w:spacing w:before="240" w:after="160" w:line="259" w:lineRule="auto"/>
        <w:ind w:left="360"/>
      </w:pPr>
      <w:r w:rsidRPr="00D27684">
        <w:rPr>
          <w:rFonts w:ascii="Arial" w:eastAsia="Arial" w:hAnsi="Arial" w:cs="Arial"/>
          <w:i/>
          <w:iCs/>
          <w:sz w:val="20"/>
          <w:szCs w:val="20"/>
        </w:rPr>
        <w:t xml:space="preserve">Optimal Resources for Geriatric Surgery: 2019 Standards. </w:t>
      </w:r>
      <w:r w:rsidRPr="00D27684">
        <w:rPr>
          <w:rFonts w:ascii="Arial" w:eastAsia="Arial" w:hAnsi="Arial" w:cs="Arial"/>
          <w:sz w:val="20"/>
          <w:szCs w:val="20"/>
        </w:rPr>
        <w:t>American College of Surgeons. Accessed August 3, 2022.</w:t>
      </w:r>
      <w:r w:rsidRPr="00D27684">
        <w:rPr>
          <w:rFonts w:ascii="Arial" w:eastAsia="Arial" w:hAnsi="Arial"/>
          <w:sz w:val="20"/>
        </w:rPr>
        <w:t xml:space="preserve"> </w:t>
      </w:r>
      <w:hyperlink r:id="rId13">
        <w:r w:rsidRPr="00D27684">
          <w:rPr>
            <w:rStyle w:val="ListLabel38"/>
          </w:rPr>
          <w:t>https://www.facs.org/media/f10eka54/geriatricsv_standards.pdf</w:t>
        </w:r>
      </w:hyperlink>
    </w:p>
    <w:p w14:paraId="187C4485" w14:textId="77777777" w:rsidR="008D3C87" w:rsidRPr="00D27684" w:rsidRDefault="001A057D">
      <w:pPr>
        <w:pStyle w:val="ListParagraph"/>
        <w:numPr>
          <w:ilvl w:val="0"/>
          <w:numId w:val="3"/>
        </w:numPr>
        <w:spacing w:before="240" w:after="160" w:line="259" w:lineRule="auto"/>
        <w:ind w:left="360"/>
        <w:rPr>
          <w:rFonts w:ascii="Arial" w:eastAsia="Arial" w:hAnsi="Arial" w:cs="Arial"/>
          <w:sz w:val="20"/>
          <w:szCs w:val="20"/>
        </w:rPr>
      </w:pPr>
      <w:r w:rsidRPr="00D27684">
        <w:rPr>
          <w:rFonts w:ascii="Arial" w:eastAsia="Arial" w:hAnsi="Arial"/>
          <w:sz w:val="20"/>
        </w:rPr>
        <w:t xml:space="preserve">Chow WB, Yo CY, Rosenthal RA, Esnaola NF. </w:t>
      </w:r>
      <w:r w:rsidRPr="00D27684">
        <w:rPr>
          <w:rFonts w:ascii="Arial" w:eastAsia="Arial" w:hAnsi="Arial"/>
          <w:i/>
          <w:sz w:val="20"/>
        </w:rPr>
        <w:t>ACS NSQIP/AGS Best Practice Guidelines: Optimal Preoperative Assessment of the Geriatric Surgical Patient.</w:t>
      </w:r>
      <w:r w:rsidRPr="00D27684">
        <w:rPr>
          <w:rFonts w:ascii="Arial" w:eastAsia="Arial" w:hAnsi="Arial"/>
          <w:sz w:val="20"/>
        </w:rPr>
        <w:t xml:space="preserve"> 2012. American College of Surgeons NSQIP. </w:t>
      </w:r>
      <w:r w:rsidRPr="00D27684">
        <w:rPr>
          <w:rFonts w:ascii="Arial" w:eastAsia="Arial" w:hAnsi="Arial" w:cs="Arial"/>
          <w:sz w:val="20"/>
          <w:szCs w:val="20"/>
        </w:rPr>
        <w:t>https://www.facs.org/media/inyehw0d/acsnsqipagsgeriatric2012guidelines.pdf. Accessed August 3, 2022.</w:t>
      </w:r>
    </w:p>
    <w:p w14:paraId="725D5AF6" w14:textId="77777777" w:rsidR="008D3C87" w:rsidRPr="00D27684" w:rsidRDefault="001A057D">
      <w:pPr>
        <w:pStyle w:val="ListParagraph"/>
        <w:numPr>
          <w:ilvl w:val="0"/>
          <w:numId w:val="3"/>
        </w:numPr>
        <w:spacing w:before="240" w:after="160" w:line="259" w:lineRule="auto"/>
        <w:ind w:left="360"/>
        <w:rPr>
          <w:rFonts w:ascii="Arial" w:eastAsia="Arial" w:hAnsi="Arial" w:cs="Arial"/>
          <w:sz w:val="20"/>
          <w:szCs w:val="20"/>
        </w:rPr>
      </w:pPr>
      <w:r w:rsidRPr="00D27684">
        <w:rPr>
          <w:rFonts w:ascii="Arial" w:eastAsia="Arial" w:hAnsi="Arial" w:cs="Arial"/>
          <w:sz w:val="20"/>
          <w:szCs w:val="20"/>
        </w:rPr>
        <w:t xml:space="preserve">Bentov I, Kaplan SJ, Pham TN, Reed MJ. Frailty assessment: from clinical to radiological tools. </w:t>
      </w:r>
      <w:r w:rsidRPr="00D27684">
        <w:rPr>
          <w:rFonts w:ascii="Arial" w:eastAsia="Arial" w:hAnsi="Arial" w:cs="Arial"/>
          <w:i/>
          <w:iCs/>
          <w:sz w:val="20"/>
          <w:szCs w:val="20"/>
        </w:rPr>
        <w:t>Br J Anesth.</w:t>
      </w:r>
      <w:r w:rsidRPr="00D27684">
        <w:rPr>
          <w:rFonts w:ascii="Arial" w:eastAsia="Arial" w:hAnsi="Arial" w:cs="Arial"/>
          <w:sz w:val="20"/>
          <w:szCs w:val="20"/>
        </w:rPr>
        <w:t xml:space="preserve"> 2019;123(1):37-50.</w:t>
      </w:r>
    </w:p>
    <w:p w14:paraId="02777580" w14:textId="77777777" w:rsidR="008D3C87" w:rsidRPr="00D27684" w:rsidRDefault="001A057D">
      <w:pPr>
        <w:pStyle w:val="ListParagraph"/>
        <w:numPr>
          <w:ilvl w:val="0"/>
          <w:numId w:val="3"/>
        </w:numPr>
        <w:spacing w:before="240" w:after="160" w:line="259" w:lineRule="auto"/>
        <w:ind w:left="360"/>
        <w:rPr>
          <w:rFonts w:ascii="Arial" w:eastAsia="Arial" w:hAnsi="Arial" w:cs="Arial"/>
          <w:sz w:val="20"/>
          <w:szCs w:val="20"/>
        </w:rPr>
      </w:pPr>
      <w:r w:rsidRPr="00D27684">
        <w:rPr>
          <w:rFonts w:ascii="Arial" w:eastAsia="Arial" w:hAnsi="Arial" w:cs="Arial"/>
          <w:sz w:val="20"/>
          <w:szCs w:val="20"/>
        </w:rPr>
        <w:t xml:space="preserve">Artilis-Armas M, Roque-Castellano C, Conde-Martel A, Marchena-Gómez J. The Comprehensive Complication Index is related to frailty in elderly surgical patients. </w:t>
      </w:r>
      <w:r w:rsidRPr="00D27684">
        <w:rPr>
          <w:rFonts w:ascii="Arial" w:eastAsia="Arial" w:hAnsi="Arial" w:cs="Arial"/>
          <w:i/>
          <w:iCs/>
          <w:sz w:val="20"/>
          <w:szCs w:val="20"/>
        </w:rPr>
        <w:t>J Surg Res.</w:t>
      </w:r>
      <w:r w:rsidRPr="00D27684">
        <w:rPr>
          <w:rFonts w:ascii="Arial" w:eastAsia="Arial" w:hAnsi="Arial" w:cs="Arial"/>
          <w:sz w:val="20"/>
          <w:szCs w:val="20"/>
        </w:rPr>
        <w:t xml:space="preserve"> 2019;244:218-224.</w:t>
      </w:r>
    </w:p>
    <w:p w14:paraId="3BE352CB" w14:textId="77777777" w:rsidR="008D3C87" w:rsidRPr="00D27684" w:rsidRDefault="001A057D">
      <w:pPr>
        <w:pStyle w:val="ListParagraph"/>
        <w:numPr>
          <w:ilvl w:val="0"/>
          <w:numId w:val="3"/>
        </w:numPr>
        <w:spacing w:before="240" w:after="160" w:line="259" w:lineRule="auto"/>
        <w:ind w:left="360"/>
      </w:pPr>
      <w:r w:rsidRPr="00D27684">
        <w:rPr>
          <w:rFonts w:ascii="Arial" w:eastAsia="Arial" w:hAnsi="Arial" w:cs="Arial"/>
          <w:sz w:val="20"/>
          <w:szCs w:val="20"/>
        </w:rPr>
        <w:t xml:space="preserve">Ibunkunoluwa A, Blitz J. Perioperative frailty: lessons learned and future directions. </w:t>
      </w:r>
      <w:proofErr w:type="spellStart"/>
      <w:r w:rsidRPr="00D27684">
        <w:rPr>
          <w:rFonts w:ascii="Arial" w:eastAsia="Arial" w:hAnsi="Arial" w:cs="Arial"/>
          <w:i/>
          <w:iCs/>
          <w:sz w:val="20"/>
          <w:szCs w:val="20"/>
        </w:rPr>
        <w:t>Curr</w:t>
      </w:r>
      <w:proofErr w:type="spellEnd"/>
      <w:r w:rsidRPr="00D27684">
        <w:rPr>
          <w:rFonts w:ascii="Arial" w:eastAsia="Arial" w:hAnsi="Arial" w:cs="Arial"/>
          <w:i/>
          <w:iCs/>
          <w:sz w:val="20"/>
          <w:szCs w:val="20"/>
        </w:rPr>
        <w:t xml:space="preserve"> </w:t>
      </w:r>
      <w:proofErr w:type="spellStart"/>
      <w:r w:rsidRPr="00D27684">
        <w:rPr>
          <w:rFonts w:ascii="Arial" w:eastAsia="Arial" w:hAnsi="Arial" w:cs="Arial"/>
          <w:i/>
          <w:iCs/>
          <w:sz w:val="20"/>
          <w:szCs w:val="20"/>
        </w:rPr>
        <w:t>Opin</w:t>
      </w:r>
      <w:proofErr w:type="spellEnd"/>
      <w:r w:rsidRPr="00D27684">
        <w:rPr>
          <w:rFonts w:ascii="Arial" w:eastAsia="Arial" w:hAnsi="Arial" w:cs="Arial"/>
          <w:i/>
          <w:iCs/>
          <w:sz w:val="20"/>
          <w:szCs w:val="20"/>
        </w:rPr>
        <w:t xml:space="preserve"> </w:t>
      </w:r>
      <w:proofErr w:type="spellStart"/>
      <w:r w:rsidRPr="00D27684">
        <w:rPr>
          <w:rFonts w:ascii="Arial" w:eastAsia="Arial" w:hAnsi="Arial" w:cs="Arial"/>
          <w:i/>
          <w:iCs/>
          <w:sz w:val="20"/>
          <w:szCs w:val="20"/>
        </w:rPr>
        <w:t>Anaesthesiol</w:t>
      </w:r>
      <w:proofErr w:type="spellEnd"/>
      <w:r w:rsidRPr="00D27684">
        <w:rPr>
          <w:rFonts w:ascii="Arial" w:eastAsia="Arial" w:hAnsi="Arial" w:cs="Arial"/>
          <w:i/>
          <w:iCs/>
          <w:sz w:val="20"/>
          <w:szCs w:val="20"/>
        </w:rPr>
        <w:t>.</w:t>
      </w:r>
      <w:r w:rsidRPr="00D27684">
        <w:rPr>
          <w:rFonts w:ascii="Arial" w:eastAsia="Arial" w:hAnsi="Arial" w:cs="Arial"/>
          <w:sz w:val="20"/>
          <w:szCs w:val="20"/>
        </w:rPr>
        <w:t xml:space="preserve"> </w:t>
      </w:r>
      <w:hyperlink r:id="rId14">
        <w:r w:rsidRPr="00D27684">
          <w:rPr>
            <w:rStyle w:val="ListLabel39"/>
          </w:rPr>
          <w:t>2021;34(3):373-380</w:t>
        </w:r>
      </w:hyperlink>
      <w:r w:rsidRPr="00D27684">
        <w:rPr>
          <w:rFonts w:ascii="Arial" w:eastAsia="Arial" w:hAnsi="Arial" w:cs="Arial"/>
          <w:sz w:val="20"/>
          <w:szCs w:val="20"/>
        </w:rPr>
        <w:t>.</w:t>
      </w:r>
    </w:p>
    <w:p w14:paraId="1AEBFE6E" w14:textId="77777777" w:rsidR="008D3C87" w:rsidRPr="00D27684" w:rsidRDefault="001A057D">
      <w:pPr>
        <w:pStyle w:val="ListParagraph"/>
        <w:numPr>
          <w:ilvl w:val="0"/>
          <w:numId w:val="3"/>
        </w:numPr>
        <w:spacing w:before="240" w:after="160" w:line="259" w:lineRule="auto"/>
        <w:ind w:left="360"/>
        <w:rPr>
          <w:rFonts w:ascii="Arial" w:eastAsia="Arial" w:hAnsi="Arial" w:cs="Arial"/>
          <w:sz w:val="20"/>
          <w:szCs w:val="20"/>
        </w:rPr>
      </w:pPr>
      <w:proofErr w:type="spellStart"/>
      <w:r w:rsidRPr="00D27684">
        <w:rPr>
          <w:rFonts w:ascii="Arial" w:eastAsia="Arial" w:hAnsi="Arial" w:cs="Arial"/>
          <w:sz w:val="20"/>
          <w:szCs w:val="20"/>
        </w:rPr>
        <w:t>Baek</w:t>
      </w:r>
      <w:proofErr w:type="spellEnd"/>
      <w:r w:rsidRPr="00D27684">
        <w:rPr>
          <w:rFonts w:ascii="Arial" w:eastAsia="Arial" w:hAnsi="Arial" w:cs="Arial"/>
          <w:sz w:val="20"/>
          <w:szCs w:val="20"/>
        </w:rPr>
        <w:t xml:space="preserve"> W, Young MK, </w:t>
      </w:r>
      <w:proofErr w:type="spellStart"/>
      <w:r w:rsidRPr="00D27684">
        <w:rPr>
          <w:rFonts w:ascii="Arial" w:eastAsia="Arial" w:hAnsi="Arial" w:cs="Arial"/>
          <w:sz w:val="20"/>
          <w:szCs w:val="20"/>
        </w:rPr>
        <w:t>Hyangkyu</w:t>
      </w:r>
      <w:proofErr w:type="spellEnd"/>
      <w:r w:rsidRPr="00D27684">
        <w:rPr>
          <w:rFonts w:ascii="Arial" w:eastAsia="Arial" w:hAnsi="Arial" w:cs="Arial"/>
          <w:sz w:val="20"/>
          <w:szCs w:val="20"/>
        </w:rPr>
        <w:t xml:space="preserve"> L. Risk factors of postoperative delirium in older adult spine surgery patients: a meta-analysis. </w:t>
      </w:r>
      <w:r w:rsidRPr="00D27684">
        <w:rPr>
          <w:rFonts w:ascii="Arial" w:eastAsia="Arial" w:hAnsi="Arial" w:cs="Arial"/>
          <w:i/>
          <w:iCs/>
          <w:sz w:val="20"/>
          <w:szCs w:val="20"/>
        </w:rPr>
        <w:t>AORN J.</w:t>
      </w:r>
      <w:r w:rsidRPr="00D27684">
        <w:rPr>
          <w:rFonts w:ascii="Arial" w:eastAsia="Arial" w:hAnsi="Arial" w:cs="Arial"/>
          <w:sz w:val="20"/>
          <w:szCs w:val="20"/>
        </w:rPr>
        <w:t xml:space="preserve"> 2020;112(6):650-661. </w:t>
      </w:r>
    </w:p>
    <w:p w14:paraId="6A8C93C8" w14:textId="77777777" w:rsidR="008D3C87" w:rsidRPr="00D27684" w:rsidRDefault="001A057D">
      <w:pPr>
        <w:pStyle w:val="ListParagraph"/>
        <w:numPr>
          <w:ilvl w:val="0"/>
          <w:numId w:val="3"/>
        </w:numPr>
        <w:spacing w:before="240" w:after="160" w:line="259" w:lineRule="auto"/>
        <w:ind w:left="360"/>
        <w:rPr>
          <w:rFonts w:ascii="Arial" w:eastAsia="Arial" w:hAnsi="Arial" w:cs="Arial"/>
          <w:sz w:val="20"/>
          <w:szCs w:val="20"/>
        </w:rPr>
      </w:pPr>
      <w:r w:rsidRPr="00D27684">
        <w:rPr>
          <w:rFonts w:ascii="Arial" w:eastAsia="Arial" w:hAnsi="Arial"/>
          <w:sz w:val="20"/>
        </w:rPr>
        <w:t xml:space="preserve">Kumar C, Salzman B, Colburn JL. Preoperative assessment in older adults: a comprehensive approach. </w:t>
      </w:r>
      <w:r w:rsidRPr="00D27684">
        <w:rPr>
          <w:rFonts w:ascii="Arial" w:eastAsia="Arial" w:hAnsi="Arial"/>
          <w:i/>
          <w:sz w:val="20"/>
        </w:rPr>
        <w:t>Am Fam Physician.</w:t>
      </w:r>
      <w:r w:rsidRPr="00D27684">
        <w:rPr>
          <w:rFonts w:ascii="Arial" w:eastAsia="Arial" w:hAnsi="Arial"/>
          <w:sz w:val="20"/>
        </w:rPr>
        <w:t xml:space="preserve"> </w:t>
      </w:r>
      <w:r w:rsidRPr="00D27684">
        <w:rPr>
          <w:rFonts w:ascii="Arial" w:eastAsia="Arial" w:hAnsi="Arial" w:cs="Arial"/>
          <w:sz w:val="20"/>
          <w:szCs w:val="20"/>
        </w:rPr>
        <w:t xml:space="preserve">2018;98(4):214-220. </w:t>
      </w:r>
    </w:p>
    <w:p w14:paraId="2E0E46FC" w14:textId="77777777" w:rsidR="008D3C87" w:rsidRPr="00D27684" w:rsidRDefault="001A057D">
      <w:pPr>
        <w:pStyle w:val="ListParagraph"/>
        <w:numPr>
          <w:ilvl w:val="0"/>
          <w:numId w:val="3"/>
        </w:numPr>
        <w:spacing w:before="240" w:after="160" w:line="259" w:lineRule="auto"/>
        <w:ind w:left="360"/>
        <w:rPr>
          <w:rFonts w:ascii="Arial" w:eastAsia="Arial" w:hAnsi="Arial" w:cs="Arial"/>
          <w:sz w:val="20"/>
          <w:szCs w:val="20"/>
        </w:rPr>
      </w:pPr>
      <w:r w:rsidRPr="00D27684">
        <w:rPr>
          <w:rFonts w:ascii="Arial" w:eastAsia="Arial" w:hAnsi="Arial" w:cs="Arial"/>
          <w:sz w:val="20"/>
          <w:szCs w:val="20"/>
        </w:rPr>
        <w:t>Boudreaux AM, Simmons JW.</w:t>
      </w:r>
      <w:r w:rsidRPr="00D27684">
        <w:rPr>
          <w:rFonts w:ascii="Arial" w:eastAsia="Arial" w:hAnsi="Arial"/>
          <w:sz w:val="20"/>
        </w:rPr>
        <w:t xml:space="preserve"> </w:t>
      </w:r>
      <w:proofErr w:type="spellStart"/>
      <w:r w:rsidRPr="00D27684">
        <w:rPr>
          <w:rFonts w:ascii="Arial" w:eastAsia="Arial" w:hAnsi="Arial"/>
          <w:sz w:val="20"/>
        </w:rPr>
        <w:t>Prehabilitation</w:t>
      </w:r>
      <w:proofErr w:type="spellEnd"/>
      <w:r w:rsidRPr="00D27684">
        <w:rPr>
          <w:rFonts w:ascii="Arial" w:eastAsia="Arial" w:hAnsi="Arial"/>
          <w:sz w:val="20"/>
        </w:rPr>
        <w:t xml:space="preserve"> and optimization of modifiable patient risk factors: the importance of effective preoperative evaluation to improve surgical outcomes. </w:t>
      </w:r>
      <w:r w:rsidRPr="00D27684">
        <w:rPr>
          <w:rFonts w:ascii="Arial" w:eastAsia="Arial" w:hAnsi="Arial" w:cs="Arial"/>
          <w:i/>
          <w:iCs/>
          <w:sz w:val="20"/>
          <w:szCs w:val="20"/>
        </w:rPr>
        <w:t>AORN J.</w:t>
      </w:r>
      <w:r w:rsidRPr="00D27684">
        <w:rPr>
          <w:rFonts w:ascii="Arial" w:eastAsia="Arial" w:hAnsi="Arial" w:cs="Arial"/>
          <w:sz w:val="20"/>
          <w:szCs w:val="20"/>
        </w:rPr>
        <w:t xml:space="preserve"> 2019;109(4):500-507.</w:t>
      </w:r>
    </w:p>
    <w:p w14:paraId="74C5F787" w14:textId="77777777" w:rsidR="008D3C87" w:rsidRPr="00D27684" w:rsidRDefault="001A057D">
      <w:pPr>
        <w:pStyle w:val="ListParagraph"/>
        <w:numPr>
          <w:ilvl w:val="0"/>
          <w:numId w:val="3"/>
        </w:numPr>
        <w:spacing w:before="240" w:after="160" w:line="259" w:lineRule="auto"/>
        <w:ind w:left="360"/>
      </w:pPr>
      <w:r w:rsidRPr="00D27684">
        <w:rPr>
          <w:rFonts w:ascii="Arial" w:eastAsia="Arial" w:hAnsi="Arial" w:cs="Arial"/>
          <w:sz w:val="20"/>
          <w:szCs w:val="20"/>
        </w:rPr>
        <w:t xml:space="preserve">Strong for Surgery </w:t>
      </w:r>
      <w:proofErr w:type="spellStart"/>
      <w:r w:rsidRPr="00D27684">
        <w:rPr>
          <w:rFonts w:ascii="Arial" w:eastAsia="Arial" w:hAnsi="Arial" w:cs="Arial"/>
          <w:sz w:val="20"/>
          <w:szCs w:val="20"/>
        </w:rPr>
        <w:t>Prehabilitation</w:t>
      </w:r>
      <w:proofErr w:type="spellEnd"/>
      <w:r w:rsidRPr="00D27684">
        <w:rPr>
          <w:rFonts w:ascii="Arial" w:eastAsia="Arial" w:hAnsi="Arial" w:cs="Arial"/>
          <w:sz w:val="20"/>
          <w:szCs w:val="20"/>
        </w:rPr>
        <w:t xml:space="preserve"> Screening Checklist. American College of Surgeons. Revised June 27, 2018. Accessed August 3, 2022.</w:t>
      </w:r>
      <w:r w:rsidRPr="00D27684">
        <w:rPr>
          <w:rFonts w:ascii="Arial" w:eastAsia="Arial" w:hAnsi="Arial"/>
          <w:sz w:val="20"/>
        </w:rPr>
        <w:t xml:space="preserve"> </w:t>
      </w:r>
      <w:hyperlink r:id="rId15">
        <w:r w:rsidRPr="00D27684">
          <w:rPr>
            <w:rStyle w:val="ListLabel38"/>
          </w:rPr>
          <w:t>https://www.facs.org/media/mnfjp522/prehabilitation_checklist.pdf</w:t>
        </w:r>
      </w:hyperlink>
    </w:p>
    <w:p w14:paraId="69B5E8E8" w14:textId="77777777" w:rsidR="008D3C87" w:rsidRPr="00D27684" w:rsidRDefault="001A057D">
      <w:pPr>
        <w:pStyle w:val="ListParagraph"/>
        <w:numPr>
          <w:ilvl w:val="0"/>
          <w:numId w:val="3"/>
        </w:numPr>
        <w:spacing w:before="240" w:after="160" w:line="259" w:lineRule="auto"/>
        <w:ind w:left="360"/>
        <w:rPr>
          <w:rFonts w:ascii="Arial" w:eastAsia="Arial" w:hAnsi="Arial" w:cs="Arial"/>
          <w:sz w:val="20"/>
          <w:szCs w:val="20"/>
        </w:rPr>
      </w:pPr>
      <w:r w:rsidRPr="00D27684">
        <w:rPr>
          <w:rFonts w:ascii="Arial" w:eastAsia="Arial" w:hAnsi="Arial" w:cs="Arial"/>
          <w:sz w:val="20"/>
          <w:szCs w:val="20"/>
        </w:rPr>
        <w:t xml:space="preserve">Parker LJ, Thorpe RJ, </w:t>
      </w:r>
      <w:proofErr w:type="spellStart"/>
      <w:r w:rsidRPr="00D27684">
        <w:rPr>
          <w:rFonts w:ascii="Arial" w:eastAsia="Arial" w:hAnsi="Arial" w:cs="Arial"/>
          <w:sz w:val="20"/>
          <w:szCs w:val="20"/>
        </w:rPr>
        <w:t>McNabney</w:t>
      </w:r>
      <w:proofErr w:type="spellEnd"/>
      <w:r w:rsidRPr="00D27684">
        <w:rPr>
          <w:rFonts w:ascii="Arial" w:eastAsia="Arial" w:hAnsi="Arial" w:cs="Arial"/>
          <w:sz w:val="20"/>
          <w:szCs w:val="20"/>
        </w:rPr>
        <w:t xml:space="preserve"> MK. Cultural Competency and cultural humility in caring for older adults. In: </w:t>
      </w:r>
      <w:proofErr w:type="spellStart"/>
      <w:r w:rsidRPr="00D27684">
        <w:rPr>
          <w:rFonts w:ascii="Arial" w:eastAsia="Arial" w:hAnsi="Arial" w:cs="Arial"/>
          <w:sz w:val="20"/>
          <w:szCs w:val="20"/>
        </w:rPr>
        <w:t>Warshaw</w:t>
      </w:r>
      <w:proofErr w:type="spellEnd"/>
      <w:r w:rsidRPr="00D27684">
        <w:rPr>
          <w:rFonts w:ascii="Arial" w:eastAsia="Arial" w:hAnsi="Arial" w:cs="Arial"/>
          <w:sz w:val="20"/>
          <w:szCs w:val="20"/>
        </w:rPr>
        <w:t xml:space="preserve"> GA, Potter JF, Flaherty E, Heflin MT, </w:t>
      </w:r>
      <w:proofErr w:type="spellStart"/>
      <w:r w:rsidRPr="00D27684">
        <w:rPr>
          <w:rFonts w:ascii="Arial" w:eastAsia="Arial" w:hAnsi="Arial" w:cs="Arial"/>
          <w:sz w:val="20"/>
          <w:szCs w:val="20"/>
        </w:rPr>
        <w:t>McNabney</w:t>
      </w:r>
      <w:proofErr w:type="spellEnd"/>
      <w:r w:rsidRPr="00D27684">
        <w:rPr>
          <w:rFonts w:ascii="Arial" w:eastAsia="Arial" w:hAnsi="Arial" w:cs="Arial"/>
          <w:sz w:val="20"/>
          <w:szCs w:val="20"/>
        </w:rPr>
        <w:t xml:space="preserve"> MK, Ham RJ, eds. </w:t>
      </w:r>
      <w:r w:rsidRPr="00D27684">
        <w:rPr>
          <w:rFonts w:ascii="Arial" w:eastAsia="Arial" w:hAnsi="Arial" w:cs="Arial"/>
          <w:i/>
          <w:iCs/>
          <w:sz w:val="20"/>
          <w:szCs w:val="20"/>
        </w:rPr>
        <w:t>Ham’s Primary Care Geriatrics.</w:t>
      </w:r>
      <w:r w:rsidRPr="00D27684">
        <w:rPr>
          <w:rFonts w:ascii="Arial" w:eastAsia="Arial" w:hAnsi="Arial" w:cs="Arial"/>
          <w:sz w:val="20"/>
          <w:szCs w:val="20"/>
        </w:rPr>
        <w:t xml:space="preserve"> 7th ed. Philadelphia, PA: Elsevier; 2022:54-58.</w:t>
      </w:r>
    </w:p>
    <w:p w14:paraId="02B4F7A8" w14:textId="77777777" w:rsidR="008D3C87" w:rsidRPr="00D27684" w:rsidRDefault="001A057D">
      <w:pPr>
        <w:pStyle w:val="ListParagraph"/>
        <w:numPr>
          <w:ilvl w:val="0"/>
          <w:numId w:val="3"/>
        </w:numPr>
        <w:spacing w:before="240" w:after="160" w:line="259" w:lineRule="auto"/>
        <w:ind w:left="360"/>
        <w:rPr>
          <w:rFonts w:ascii="Arial" w:eastAsia="Arial" w:hAnsi="Arial" w:cs="Arial"/>
          <w:sz w:val="20"/>
          <w:szCs w:val="20"/>
        </w:rPr>
      </w:pPr>
      <w:r w:rsidRPr="00D27684">
        <w:rPr>
          <w:rFonts w:ascii="Arial" w:eastAsia="Arial" w:hAnsi="Arial" w:cs="Arial"/>
          <w:sz w:val="20"/>
          <w:szCs w:val="20"/>
        </w:rPr>
        <w:t xml:space="preserve">Marcelin JR, Siraj DS, Victor R, </w:t>
      </w:r>
      <w:proofErr w:type="spellStart"/>
      <w:r w:rsidRPr="00D27684">
        <w:rPr>
          <w:rFonts w:ascii="Arial" w:eastAsia="Arial" w:hAnsi="Arial" w:cs="Arial"/>
          <w:sz w:val="20"/>
          <w:szCs w:val="20"/>
        </w:rPr>
        <w:t>Kotadia</w:t>
      </w:r>
      <w:proofErr w:type="spellEnd"/>
      <w:r w:rsidRPr="00D27684">
        <w:rPr>
          <w:rFonts w:ascii="Arial" w:eastAsia="Arial" w:hAnsi="Arial" w:cs="Arial"/>
          <w:sz w:val="20"/>
          <w:szCs w:val="20"/>
        </w:rPr>
        <w:t xml:space="preserve"> S, Maldonado YA. The impact of unconscious bias in healthcare: how to recognize and mitigate it. </w:t>
      </w:r>
      <w:r w:rsidRPr="00D27684">
        <w:rPr>
          <w:rFonts w:ascii="Arial" w:eastAsia="Arial" w:hAnsi="Arial" w:cs="Arial"/>
          <w:i/>
          <w:iCs/>
          <w:sz w:val="20"/>
          <w:szCs w:val="20"/>
        </w:rPr>
        <w:t xml:space="preserve">J Infect Dis. </w:t>
      </w:r>
      <w:r w:rsidRPr="00D27684">
        <w:rPr>
          <w:rFonts w:ascii="Arial" w:eastAsia="Arial" w:hAnsi="Arial" w:cs="Arial"/>
          <w:sz w:val="20"/>
          <w:szCs w:val="20"/>
        </w:rPr>
        <w:t>2019;220(Suppl 2):S62-S73.</w:t>
      </w:r>
    </w:p>
    <w:p w14:paraId="738DA6AB" w14:textId="77777777" w:rsidR="008D3C87" w:rsidRPr="00D27684" w:rsidRDefault="001A057D">
      <w:pPr>
        <w:pStyle w:val="ListParagraph"/>
        <w:numPr>
          <w:ilvl w:val="0"/>
          <w:numId w:val="3"/>
        </w:numPr>
        <w:spacing w:before="240" w:after="160" w:line="259" w:lineRule="auto"/>
        <w:ind w:left="360"/>
        <w:rPr>
          <w:rFonts w:ascii="Arial" w:eastAsia="Arial" w:hAnsi="Arial" w:cs="Arial"/>
          <w:sz w:val="20"/>
          <w:szCs w:val="20"/>
        </w:rPr>
      </w:pPr>
      <w:r w:rsidRPr="00D27684">
        <w:rPr>
          <w:rFonts w:ascii="Arial" w:eastAsia="Arial" w:hAnsi="Arial" w:cs="Arial"/>
          <w:sz w:val="20"/>
          <w:szCs w:val="20"/>
        </w:rPr>
        <w:t xml:space="preserve">Burton C, </w:t>
      </w:r>
      <w:proofErr w:type="spellStart"/>
      <w:r w:rsidRPr="00D27684">
        <w:rPr>
          <w:rFonts w:ascii="Arial" w:eastAsia="Arial" w:hAnsi="Arial" w:cs="Arial"/>
          <w:sz w:val="20"/>
          <w:szCs w:val="20"/>
        </w:rPr>
        <w:t>Eskildsen</w:t>
      </w:r>
      <w:proofErr w:type="spellEnd"/>
      <w:r w:rsidRPr="00D27684">
        <w:rPr>
          <w:rFonts w:ascii="Arial" w:eastAsia="Arial" w:hAnsi="Arial" w:cs="Arial"/>
          <w:sz w:val="20"/>
          <w:szCs w:val="20"/>
        </w:rPr>
        <w:t xml:space="preserve"> MA. Lesbian, gay, bisexual, transgender medicine in older adults. In: </w:t>
      </w:r>
      <w:proofErr w:type="spellStart"/>
      <w:r w:rsidRPr="00D27684">
        <w:rPr>
          <w:rFonts w:ascii="Arial" w:eastAsia="Arial" w:hAnsi="Arial" w:cs="Arial"/>
          <w:sz w:val="20"/>
          <w:szCs w:val="20"/>
        </w:rPr>
        <w:t>Warshaw</w:t>
      </w:r>
      <w:proofErr w:type="spellEnd"/>
      <w:r w:rsidRPr="00D27684">
        <w:rPr>
          <w:rFonts w:ascii="Arial" w:eastAsia="Arial" w:hAnsi="Arial" w:cs="Arial"/>
          <w:sz w:val="20"/>
          <w:szCs w:val="20"/>
        </w:rPr>
        <w:t xml:space="preserve"> GA, Potter JF, Flaherty E, Heflin MT, </w:t>
      </w:r>
      <w:proofErr w:type="spellStart"/>
      <w:r w:rsidRPr="00D27684">
        <w:rPr>
          <w:rFonts w:ascii="Arial" w:eastAsia="Arial" w:hAnsi="Arial" w:cs="Arial"/>
          <w:sz w:val="20"/>
          <w:szCs w:val="20"/>
        </w:rPr>
        <w:t>McNabney</w:t>
      </w:r>
      <w:proofErr w:type="spellEnd"/>
      <w:r w:rsidRPr="00D27684">
        <w:rPr>
          <w:rFonts w:ascii="Arial" w:eastAsia="Arial" w:hAnsi="Arial" w:cs="Arial"/>
          <w:sz w:val="20"/>
          <w:szCs w:val="20"/>
        </w:rPr>
        <w:t xml:space="preserve"> MK, Ham RJ, eds. </w:t>
      </w:r>
      <w:r w:rsidRPr="00D27684">
        <w:rPr>
          <w:rFonts w:ascii="Arial" w:eastAsia="Arial" w:hAnsi="Arial" w:cs="Arial"/>
          <w:i/>
          <w:iCs/>
          <w:sz w:val="20"/>
          <w:szCs w:val="20"/>
        </w:rPr>
        <w:t>Ham’s Primary Care Geriatrics.</w:t>
      </w:r>
      <w:r w:rsidRPr="00D27684">
        <w:rPr>
          <w:rFonts w:ascii="Arial" w:eastAsia="Arial" w:hAnsi="Arial" w:cs="Arial"/>
          <w:sz w:val="20"/>
          <w:szCs w:val="20"/>
        </w:rPr>
        <w:t xml:space="preserve"> 7th ed. Philadelphia, PA: Elsevier; 2022:35-41.</w:t>
      </w:r>
    </w:p>
    <w:p w14:paraId="1C3FE8A2" w14:textId="77777777" w:rsidR="008D3C87" w:rsidRPr="00D27684" w:rsidRDefault="001A057D">
      <w:pPr>
        <w:pStyle w:val="ListParagraph"/>
        <w:numPr>
          <w:ilvl w:val="0"/>
          <w:numId w:val="3"/>
        </w:numPr>
        <w:ind w:left="360"/>
        <w:rPr>
          <w:rFonts w:ascii="Arial" w:hAnsi="Arial" w:cs="Arial"/>
          <w:sz w:val="20"/>
          <w:szCs w:val="20"/>
        </w:rPr>
      </w:pPr>
      <w:proofErr w:type="spellStart"/>
      <w:r w:rsidRPr="00D27684">
        <w:rPr>
          <w:rFonts w:ascii="Arial" w:hAnsi="Arial" w:cs="Arial"/>
          <w:sz w:val="20"/>
          <w:szCs w:val="20"/>
        </w:rPr>
        <w:t>Benze</w:t>
      </w:r>
      <w:proofErr w:type="spellEnd"/>
      <w:r w:rsidRPr="00D27684">
        <w:rPr>
          <w:rFonts w:ascii="Arial" w:hAnsi="Arial" w:cs="Arial"/>
          <w:sz w:val="20"/>
          <w:szCs w:val="20"/>
        </w:rPr>
        <w:t xml:space="preserve"> C, Spruce L, Groah L. Perioperative Nursing: Scope and Standards of Practice. Denver, CO: AORN, Inc; 2021. Accessed August 3, 2022 [Membership required]. https://www.aorn.org/guidelines/clinical-resources/standards-of-practice</w:t>
      </w:r>
    </w:p>
    <w:p w14:paraId="5ACC58A8" w14:textId="77777777" w:rsidR="008D3C87" w:rsidRPr="00D27684" w:rsidRDefault="001A057D">
      <w:pPr>
        <w:pStyle w:val="ListParagraph"/>
        <w:numPr>
          <w:ilvl w:val="0"/>
          <w:numId w:val="3"/>
        </w:numPr>
        <w:spacing w:before="240" w:after="160" w:line="259" w:lineRule="auto"/>
        <w:ind w:left="360"/>
        <w:rPr>
          <w:rFonts w:ascii="Arial" w:eastAsia="Arial" w:hAnsi="Arial"/>
          <w:sz w:val="20"/>
        </w:rPr>
      </w:pPr>
      <w:r w:rsidRPr="00D27684">
        <w:rPr>
          <w:rFonts w:ascii="Arial" w:eastAsia="Arial" w:hAnsi="Arial"/>
          <w:sz w:val="20"/>
        </w:rPr>
        <w:t xml:space="preserve">Long JV, </w:t>
      </w:r>
      <w:proofErr w:type="spellStart"/>
      <w:r w:rsidRPr="00D27684">
        <w:rPr>
          <w:rFonts w:ascii="Arial" w:eastAsia="Arial" w:hAnsi="Arial"/>
          <w:sz w:val="20"/>
        </w:rPr>
        <w:t>Shippee</w:t>
      </w:r>
      <w:proofErr w:type="spellEnd"/>
      <w:r w:rsidRPr="00D27684">
        <w:rPr>
          <w:rFonts w:ascii="Arial" w:eastAsia="Arial" w:hAnsi="Arial"/>
          <w:sz w:val="20"/>
        </w:rPr>
        <w:t xml:space="preserve">-Rice RV, Fetzer SJ. </w:t>
      </w:r>
      <w:proofErr w:type="spellStart"/>
      <w:r w:rsidRPr="00D27684">
        <w:rPr>
          <w:rFonts w:ascii="Arial" w:eastAsia="Arial" w:hAnsi="Arial"/>
          <w:sz w:val="20"/>
        </w:rPr>
        <w:t>Gerioperative</w:t>
      </w:r>
      <w:proofErr w:type="spellEnd"/>
      <w:r w:rsidRPr="00D27684">
        <w:rPr>
          <w:rFonts w:ascii="Arial" w:eastAsia="Arial" w:hAnsi="Arial"/>
          <w:sz w:val="20"/>
        </w:rPr>
        <w:t xml:space="preserve"> informed consent. In: </w:t>
      </w:r>
      <w:proofErr w:type="spellStart"/>
      <w:r w:rsidRPr="00D27684">
        <w:rPr>
          <w:rFonts w:ascii="Arial" w:eastAsia="Arial" w:hAnsi="Arial"/>
          <w:sz w:val="20"/>
        </w:rPr>
        <w:t>Shippee</w:t>
      </w:r>
      <w:proofErr w:type="spellEnd"/>
      <w:r w:rsidRPr="00D27684">
        <w:rPr>
          <w:rFonts w:ascii="Arial" w:eastAsia="Arial" w:hAnsi="Arial"/>
          <w:sz w:val="20"/>
        </w:rPr>
        <w:t xml:space="preserve">-Rice RV, Fetzer SJ, Long JV, eds. </w:t>
      </w:r>
      <w:proofErr w:type="spellStart"/>
      <w:r w:rsidRPr="00D27684">
        <w:rPr>
          <w:rFonts w:ascii="Arial" w:eastAsia="Arial" w:hAnsi="Arial"/>
          <w:i/>
          <w:sz w:val="20"/>
        </w:rPr>
        <w:t>Gerioperative</w:t>
      </w:r>
      <w:proofErr w:type="spellEnd"/>
      <w:r w:rsidRPr="00D27684">
        <w:rPr>
          <w:rFonts w:ascii="Arial" w:eastAsia="Arial" w:hAnsi="Arial"/>
          <w:i/>
          <w:sz w:val="20"/>
        </w:rPr>
        <w:t xml:space="preserve"> Nursing Care: Principles and Practices of Surgical Care for the Older Adult.</w:t>
      </w:r>
      <w:r w:rsidRPr="00D27684">
        <w:rPr>
          <w:rFonts w:ascii="Arial" w:eastAsia="Arial" w:hAnsi="Arial"/>
          <w:sz w:val="20"/>
        </w:rPr>
        <w:t xml:space="preserve"> New York, NY: Springer; 2012:61-83.</w:t>
      </w:r>
    </w:p>
    <w:p w14:paraId="6C71FBA5" w14:textId="77777777" w:rsidR="008D3C87" w:rsidRPr="00D27684" w:rsidRDefault="001A057D">
      <w:pPr>
        <w:pStyle w:val="ListParagraph"/>
        <w:numPr>
          <w:ilvl w:val="0"/>
          <w:numId w:val="3"/>
        </w:numPr>
        <w:spacing w:before="240" w:after="160" w:line="259" w:lineRule="auto"/>
        <w:ind w:left="360"/>
        <w:rPr>
          <w:rFonts w:ascii="Arial" w:eastAsia="Arial" w:hAnsi="Arial"/>
          <w:sz w:val="20"/>
        </w:rPr>
      </w:pPr>
      <w:r w:rsidRPr="00D27684">
        <w:rPr>
          <w:rFonts w:ascii="Arial" w:eastAsia="Arial" w:hAnsi="Arial"/>
          <w:sz w:val="20"/>
        </w:rPr>
        <w:lastRenderedPageBreak/>
        <w:t xml:space="preserve">Long JV, Fetzer SJ, </w:t>
      </w:r>
      <w:proofErr w:type="spellStart"/>
      <w:r w:rsidRPr="00D27684">
        <w:rPr>
          <w:rFonts w:ascii="Arial" w:eastAsia="Arial" w:hAnsi="Arial"/>
          <w:sz w:val="20"/>
        </w:rPr>
        <w:t>Shippee</w:t>
      </w:r>
      <w:proofErr w:type="spellEnd"/>
      <w:r w:rsidRPr="00D27684">
        <w:rPr>
          <w:rFonts w:ascii="Arial" w:eastAsia="Arial" w:hAnsi="Arial"/>
          <w:sz w:val="20"/>
        </w:rPr>
        <w:t xml:space="preserve">-Rice RV. Skin. In: </w:t>
      </w:r>
      <w:proofErr w:type="spellStart"/>
      <w:r w:rsidRPr="00D27684">
        <w:rPr>
          <w:rFonts w:ascii="Arial" w:eastAsia="Arial" w:hAnsi="Arial"/>
          <w:sz w:val="20"/>
        </w:rPr>
        <w:t>Shippee</w:t>
      </w:r>
      <w:proofErr w:type="spellEnd"/>
      <w:r w:rsidRPr="00D27684">
        <w:rPr>
          <w:rFonts w:ascii="Arial" w:eastAsia="Arial" w:hAnsi="Arial"/>
          <w:sz w:val="20"/>
        </w:rPr>
        <w:t xml:space="preserve">-Rice RV, Fetzer SJ, Long JV, eds. </w:t>
      </w:r>
      <w:proofErr w:type="spellStart"/>
      <w:r w:rsidRPr="00D27684">
        <w:rPr>
          <w:rFonts w:ascii="Arial" w:eastAsia="Arial" w:hAnsi="Arial"/>
          <w:i/>
          <w:sz w:val="20"/>
        </w:rPr>
        <w:t>Gerioperative</w:t>
      </w:r>
      <w:proofErr w:type="spellEnd"/>
      <w:r w:rsidRPr="00D27684">
        <w:rPr>
          <w:rFonts w:ascii="Arial" w:eastAsia="Arial" w:hAnsi="Arial"/>
          <w:i/>
          <w:sz w:val="20"/>
        </w:rPr>
        <w:t xml:space="preserve"> Nursing Care: Principles and Practices of Surgical Care for the Older Adult. </w:t>
      </w:r>
      <w:r w:rsidRPr="00D27684">
        <w:rPr>
          <w:rFonts w:ascii="Arial" w:eastAsia="Arial" w:hAnsi="Arial"/>
          <w:sz w:val="20"/>
        </w:rPr>
        <w:t>New York, NY: Springer; 2012:319-340.</w:t>
      </w:r>
    </w:p>
    <w:p w14:paraId="6BCFE83E" w14:textId="77777777" w:rsidR="008D3C87" w:rsidRPr="00D27684" w:rsidRDefault="001A057D">
      <w:pPr>
        <w:pStyle w:val="ListParagraph"/>
        <w:numPr>
          <w:ilvl w:val="0"/>
          <w:numId w:val="3"/>
        </w:numPr>
        <w:spacing w:before="240" w:after="160" w:line="259" w:lineRule="auto"/>
        <w:ind w:left="360"/>
        <w:rPr>
          <w:rFonts w:ascii="Arial" w:eastAsia="Arial" w:hAnsi="Arial"/>
          <w:sz w:val="20"/>
        </w:rPr>
      </w:pPr>
      <w:proofErr w:type="spellStart"/>
      <w:r w:rsidRPr="00D27684">
        <w:rPr>
          <w:rFonts w:ascii="Arial" w:eastAsia="Arial" w:hAnsi="Arial"/>
          <w:sz w:val="20"/>
        </w:rPr>
        <w:t>Shippee</w:t>
      </w:r>
      <w:proofErr w:type="spellEnd"/>
      <w:r w:rsidRPr="00D27684">
        <w:rPr>
          <w:rFonts w:ascii="Arial" w:eastAsia="Arial" w:hAnsi="Arial"/>
          <w:sz w:val="20"/>
        </w:rPr>
        <w:t xml:space="preserve">-Rice RV, Fetzer SJ, Long JV. Promoting discharge wellness. In: </w:t>
      </w:r>
      <w:proofErr w:type="spellStart"/>
      <w:r w:rsidRPr="00D27684">
        <w:rPr>
          <w:rFonts w:ascii="Arial" w:eastAsia="Arial" w:hAnsi="Arial"/>
          <w:sz w:val="20"/>
        </w:rPr>
        <w:t>Shippee</w:t>
      </w:r>
      <w:proofErr w:type="spellEnd"/>
      <w:r w:rsidRPr="00D27684">
        <w:rPr>
          <w:rFonts w:ascii="Arial" w:eastAsia="Arial" w:hAnsi="Arial"/>
          <w:sz w:val="20"/>
        </w:rPr>
        <w:t xml:space="preserve">-Rice RV, Fetzer SJ, Long JV, eds. </w:t>
      </w:r>
      <w:proofErr w:type="spellStart"/>
      <w:r w:rsidRPr="00D27684">
        <w:rPr>
          <w:rFonts w:ascii="Arial" w:eastAsia="Arial" w:hAnsi="Arial"/>
          <w:i/>
          <w:sz w:val="20"/>
        </w:rPr>
        <w:t>Gerioperative</w:t>
      </w:r>
      <w:proofErr w:type="spellEnd"/>
      <w:r w:rsidRPr="00D27684">
        <w:rPr>
          <w:rFonts w:ascii="Arial" w:eastAsia="Arial" w:hAnsi="Arial"/>
          <w:i/>
          <w:sz w:val="20"/>
        </w:rPr>
        <w:t xml:space="preserve"> Nursing Care: Principles and Practices of Surgical Care for the Older Adult.</w:t>
      </w:r>
      <w:r w:rsidRPr="00D27684">
        <w:rPr>
          <w:rFonts w:ascii="Arial" w:eastAsia="Arial" w:hAnsi="Arial"/>
          <w:sz w:val="20"/>
        </w:rPr>
        <w:t xml:space="preserve"> New York, NY: Springer; 2012:517-540.</w:t>
      </w:r>
    </w:p>
    <w:p w14:paraId="220D83BE" w14:textId="77777777" w:rsidR="008D3C87" w:rsidRPr="00D27684" w:rsidRDefault="001A057D">
      <w:pPr>
        <w:pStyle w:val="ListParagraph"/>
        <w:numPr>
          <w:ilvl w:val="0"/>
          <w:numId w:val="3"/>
        </w:numPr>
        <w:spacing w:before="240" w:after="160" w:line="259" w:lineRule="auto"/>
        <w:ind w:left="360"/>
        <w:rPr>
          <w:rFonts w:ascii="Arial" w:eastAsia="Arial" w:hAnsi="Arial" w:cs="Arial"/>
          <w:sz w:val="20"/>
          <w:szCs w:val="20"/>
        </w:rPr>
      </w:pPr>
      <w:r w:rsidRPr="00D27684">
        <w:rPr>
          <w:rFonts w:ascii="Arial" w:eastAsia="Arial" w:hAnsi="Arial" w:cs="Arial"/>
          <w:sz w:val="20"/>
          <w:szCs w:val="20"/>
        </w:rPr>
        <w:t xml:space="preserve">Katz M, Silverstein N, Coll P, et al. Surgical care of the geriatric patient. </w:t>
      </w:r>
      <w:proofErr w:type="spellStart"/>
      <w:r w:rsidRPr="00D27684">
        <w:rPr>
          <w:rFonts w:ascii="Arial" w:eastAsia="Arial" w:hAnsi="Arial" w:cs="Arial"/>
          <w:i/>
          <w:iCs/>
          <w:sz w:val="20"/>
          <w:szCs w:val="20"/>
        </w:rPr>
        <w:t>Curr</w:t>
      </w:r>
      <w:proofErr w:type="spellEnd"/>
      <w:r w:rsidRPr="00D27684">
        <w:rPr>
          <w:rFonts w:ascii="Arial" w:eastAsia="Arial" w:hAnsi="Arial" w:cs="Arial"/>
          <w:i/>
          <w:iCs/>
          <w:sz w:val="20"/>
          <w:szCs w:val="20"/>
        </w:rPr>
        <w:t xml:space="preserve"> </w:t>
      </w:r>
      <w:proofErr w:type="spellStart"/>
      <w:r w:rsidRPr="00D27684">
        <w:rPr>
          <w:rFonts w:ascii="Arial" w:eastAsia="Arial" w:hAnsi="Arial" w:cs="Arial"/>
          <w:i/>
          <w:iCs/>
          <w:sz w:val="20"/>
          <w:szCs w:val="20"/>
        </w:rPr>
        <w:t>Probl</w:t>
      </w:r>
      <w:proofErr w:type="spellEnd"/>
      <w:r w:rsidRPr="00D27684">
        <w:rPr>
          <w:rFonts w:ascii="Arial" w:eastAsia="Arial" w:hAnsi="Arial" w:cs="Arial"/>
          <w:i/>
          <w:iCs/>
          <w:sz w:val="20"/>
          <w:szCs w:val="20"/>
        </w:rPr>
        <w:t xml:space="preserve"> Surg. </w:t>
      </w:r>
      <w:r w:rsidRPr="00D27684">
        <w:rPr>
          <w:rFonts w:ascii="Arial" w:eastAsia="Arial" w:hAnsi="Arial" w:cs="Arial"/>
          <w:sz w:val="20"/>
          <w:szCs w:val="20"/>
        </w:rPr>
        <w:t>2019;56(7):260-329.</w:t>
      </w:r>
    </w:p>
    <w:p w14:paraId="7B83D52E" w14:textId="77777777" w:rsidR="008D3C87" w:rsidRPr="00D27684" w:rsidRDefault="001A057D">
      <w:pPr>
        <w:pStyle w:val="ListParagraph"/>
        <w:numPr>
          <w:ilvl w:val="0"/>
          <w:numId w:val="3"/>
        </w:numPr>
        <w:spacing w:before="240" w:after="160" w:line="259" w:lineRule="auto"/>
        <w:ind w:left="360"/>
        <w:rPr>
          <w:rFonts w:ascii="Arial" w:eastAsia="Arial" w:hAnsi="Arial" w:cs="Arial"/>
          <w:sz w:val="20"/>
          <w:szCs w:val="20"/>
        </w:rPr>
      </w:pPr>
      <w:r w:rsidRPr="00D27684">
        <w:rPr>
          <w:rFonts w:ascii="Arial" w:eastAsia="Arial" w:hAnsi="Arial" w:cs="Arial"/>
          <w:sz w:val="20"/>
          <w:szCs w:val="20"/>
        </w:rPr>
        <w:t xml:space="preserve">Phillips NF, </w:t>
      </w:r>
      <w:proofErr w:type="spellStart"/>
      <w:r w:rsidRPr="00D27684">
        <w:rPr>
          <w:rFonts w:ascii="Arial" w:eastAsia="Arial" w:hAnsi="Arial" w:cs="Arial"/>
          <w:sz w:val="20"/>
          <w:szCs w:val="20"/>
        </w:rPr>
        <w:t>Hornacky</w:t>
      </w:r>
      <w:proofErr w:type="spellEnd"/>
      <w:r w:rsidRPr="00D27684">
        <w:rPr>
          <w:rFonts w:ascii="Arial" w:eastAsia="Arial" w:hAnsi="Arial" w:cs="Arial"/>
          <w:sz w:val="20"/>
          <w:szCs w:val="20"/>
        </w:rPr>
        <w:t xml:space="preserve"> A. Perioperative geriatrics. In: </w:t>
      </w:r>
      <w:r w:rsidRPr="00D27684">
        <w:rPr>
          <w:rFonts w:ascii="Arial" w:eastAsia="Arial" w:hAnsi="Arial" w:cs="Arial"/>
          <w:i/>
          <w:iCs/>
          <w:sz w:val="20"/>
          <w:szCs w:val="20"/>
        </w:rPr>
        <w:t>Berry &amp; Kohn’s Operating Room Technique.</w:t>
      </w:r>
      <w:r w:rsidRPr="00D27684">
        <w:rPr>
          <w:rFonts w:ascii="Arial" w:eastAsia="Arial" w:hAnsi="Arial" w:cs="Arial"/>
          <w:sz w:val="20"/>
          <w:szCs w:val="20"/>
        </w:rPr>
        <w:t xml:space="preserve"> 14th ed. St Louis, Mo: Elsevier; 2021:153-168.</w:t>
      </w:r>
    </w:p>
    <w:p w14:paraId="0B9638A8" w14:textId="77777777" w:rsidR="008D3C87" w:rsidRPr="00D27684" w:rsidRDefault="001A057D">
      <w:pPr>
        <w:pStyle w:val="ListParagraph"/>
        <w:numPr>
          <w:ilvl w:val="0"/>
          <w:numId w:val="3"/>
        </w:numPr>
        <w:spacing w:before="240" w:after="160" w:line="259" w:lineRule="auto"/>
        <w:ind w:left="360"/>
        <w:rPr>
          <w:rFonts w:ascii="Arial" w:eastAsia="Arial" w:hAnsi="Arial"/>
          <w:sz w:val="20"/>
        </w:rPr>
      </w:pPr>
      <w:proofErr w:type="spellStart"/>
      <w:r w:rsidRPr="00D27684">
        <w:rPr>
          <w:rFonts w:ascii="Arial" w:eastAsia="Arial" w:hAnsi="Arial"/>
          <w:sz w:val="20"/>
        </w:rPr>
        <w:t>Doerflinger</w:t>
      </w:r>
      <w:proofErr w:type="spellEnd"/>
      <w:r w:rsidRPr="00D27684">
        <w:rPr>
          <w:rFonts w:ascii="Arial" w:eastAsia="Arial" w:hAnsi="Arial"/>
          <w:sz w:val="20"/>
        </w:rPr>
        <w:t xml:space="preserve"> DM. Older adult surgical patients: presentation and challenges. </w:t>
      </w:r>
      <w:r w:rsidRPr="00D27684">
        <w:rPr>
          <w:rFonts w:ascii="Arial" w:eastAsia="Arial" w:hAnsi="Arial"/>
          <w:i/>
          <w:sz w:val="20"/>
        </w:rPr>
        <w:t>AORN J.</w:t>
      </w:r>
      <w:r w:rsidRPr="00D27684">
        <w:rPr>
          <w:rFonts w:ascii="Arial" w:eastAsia="Arial" w:hAnsi="Arial" w:cs="Arial"/>
          <w:sz w:val="20"/>
          <w:szCs w:val="20"/>
        </w:rPr>
        <w:t xml:space="preserve"> </w:t>
      </w:r>
      <w:r w:rsidRPr="00D27684">
        <w:rPr>
          <w:rFonts w:ascii="Arial" w:eastAsia="Arial" w:hAnsi="Arial"/>
          <w:sz w:val="20"/>
        </w:rPr>
        <w:t>2009;90(2):223-240.</w:t>
      </w:r>
    </w:p>
    <w:p w14:paraId="1D082AB9" w14:textId="77777777" w:rsidR="008D3C87" w:rsidRPr="00D27684" w:rsidRDefault="001A057D">
      <w:pPr>
        <w:pStyle w:val="ListParagraph"/>
        <w:numPr>
          <w:ilvl w:val="0"/>
          <w:numId w:val="3"/>
        </w:numPr>
        <w:spacing w:before="240" w:after="160" w:line="259" w:lineRule="auto"/>
        <w:ind w:left="360"/>
        <w:rPr>
          <w:rFonts w:ascii="Arial" w:eastAsia="Arial" w:hAnsi="Arial" w:cs="Arial"/>
          <w:sz w:val="20"/>
          <w:szCs w:val="20"/>
        </w:rPr>
      </w:pPr>
      <w:proofErr w:type="spellStart"/>
      <w:r w:rsidRPr="00D27684">
        <w:rPr>
          <w:rFonts w:ascii="Arial" w:eastAsia="Arial" w:hAnsi="Arial" w:cs="Arial"/>
          <w:sz w:val="20"/>
          <w:szCs w:val="20"/>
        </w:rPr>
        <w:t>Minkove</w:t>
      </w:r>
      <w:proofErr w:type="spellEnd"/>
      <w:r w:rsidRPr="00D27684">
        <w:rPr>
          <w:rFonts w:ascii="Arial" w:eastAsia="Arial" w:hAnsi="Arial" w:cs="Arial"/>
          <w:sz w:val="20"/>
          <w:szCs w:val="20"/>
        </w:rPr>
        <w:t xml:space="preserve"> JF. Think 75 is too old to have surgery? Think again. John Hopkins Medicine. August 2018. Accessed August 3, 2022. https://www.hopkinsmedicine.org/news/articles/think-75-is-too-old-to-have-surgery-think-again</w:t>
      </w:r>
    </w:p>
    <w:p w14:paraId="5D5BBCB1" w14:textId="77777777" w:rsidR="008D3C87" w:rsidRPr="00D27684" w:rsidRDefault="001A057D">
      <w:pPr>
        <w:pStyle w:val="ListParagraph"/>
        <w:numPr>
          <w:ilvl w:val="0"/>
          <w:numId w:val="3"/>
        </w:numPr>
        <w:spacing w:before="240" w:after="160" w:line="259" w:lineRule="auto"/>
        <w:ind w:left="360"/>
        <w:rPr>
          <w:rFonts w:ascii="Arial" w:eastAsia="Arial" w:hAnsi="Arial"/>
          <w:sz w:val="20"/>
        </w:rPr>
      </w:pPr>
      <w:r w:rsidRPr="00D27684">
        <w:rPr>
          <w:rFonts w:ascii="Arial" w:eastAsia="Arial" w:hAnsi="Arial"/>
          <w:sz w:val="20"/>
        </w:rPr>
        <w:t xml:space="preserve">Smith CM, Cotter VT, Boltz M. Age-related changes in health. In: Boltz M, ed. </w:t>
      </w:r>
      <w:r w:rsidRPr="00D27684">
        <w:rPr>
          <w:rFonts w:ascii="Arial" w:eastAsia="Arial" w:hAnsi="Arial"/>
          <w:i/>
          <w:sz w:val="20"/>
        </w:rPr>
        <w:t xml:space="preserve">Evidence-Based Geriatric Nursing Protocols for Best Practice. </w:t>
      </w:r>
      <w:r w:rsidRPr="00D27684">
        <w:rPr>
          <w:rFonts w:ascii="Arial" w:eastAsia="Arial" w:hAnsi="Arial"/>
          <w:sz w:val="20"/>
        </w:rPr>
        <w:t>4th ed. New York: Springer Pub Co; 2012:23-47.</w:t>
      </w:r>
    </w:p>
    <w:p w14:paraId="2362C910" w14:textId="77777777" w:rsidR="008D3C87" w:rsidRPr="00D27684" w:rsidRDefault="001A057D">
      <w:pPr>
        <w:pStyle w:val="ListParagraph"/>
        <w:numPr>
          <w:ilvl w:val="0"/>
          <w:numId w:val="3"/>
        </w:numPr>
        <w:spacing w:before="240" w:after="160" w:line="259" w:lineRule="auto"/>
        <w:ind w:left="360"/>
        <w:rPr>
          <w:rFonts w:ascii="Arial" w:eastAsia="Arial" w:hAnsi="Arial"/>
          <w:sz w:val="20"/>
        </w:rPr>
      </w:pPr>
      <w:r w:rsidRPr="00D27684">
        <w:rPr>
          <w:rFonts w:ascii="Arial" w:eastAsia="Arial" w:hAnsi="Arial"/>
          <w:sz w:val="20"/>
        </w:rPr>
        <w:t>El-</w:t>
      </w:r>
      <w:proofErr w:type="spellStart"/>
      <w:r w:rsidRPr="00D27684">
        <w:rPr>
          <w:rFonts w:ascii="Arial" w:eastAsia="Arial" w:hAnsi="Arial"/>
          <w:sz w:val="20"/>
        </w:rPr>
        <w:t>Sharkawy</w:t>
      </w:r>
      <w:proofErr w:type="spellEnd"/>
      <w:r w:rsidRPr="00D27684">
        <w:rPr>
          <w:rFonts w:ascii="Arial" w:eastAsia="Arial" w:hAnsi="Arial"/>
          <w:sz w:val="20"/>
        </w:rPr>
        <w:t xml:space="preserve"> A, Sahota O, Maughan RJ, Lobo DN. The pathophysiology of fluid and electrolyte balance in the older adult surgical patient. </w:t>
      </w:r>
      <w:r w:rsidRPr="00D27684">
        <w:rPr>
          <w:rFonts w:ascii="Arial" w:eastAsia="Arial" w:hAnsi="Arial"/>
          <w:i/>
          <w:sz w:val="20"/>
        </w:rPr>
        <w:t xml:space="preserve">Clin </w:t>
      </w:r>
      <w:proofErr w:type="spellStart"/>
      <w:r w:rsidRPr="00D27684">
        <w:rPr>
          <w:rFonts w:ascii="Arial" w:eastAsia="Arial" w:hAnsi="Arial"/>
          <w:i/>
          <w:sz w:val="20"/>
        </w:rPr>
        <w:t>Nutr</w:t>
      </w:r>
      <w:proofErr w:type="spellEnd"/>
      <w:r w:rsidRPr="00D27684">
        <w:rPr>
          <w:rFonts w:ascii="Arial" w:eastAsia="Arial" w:hAnsi="Arial"/>
          <w:i/>
          <w:sz w:val="20"/>
        </w:rPr>
        <w:t>.</w:t>
      </w:r>
      <w:r w:rsidRPr="00D27684">
        <w:rPr>
          <w:rFonts w:ascii="Arial" w:eastAsia="Arial" w:hAnsi="Arial"/>
          <w:sz w:val="20"/>
        </w:rPr>
        <w:t xml:space="preserve"> 2014;33(1):6-13.</w:t>
      </w:r>
    </w:p>
    <w:p w14:paraId="1FC840D5" w14:textId="77777777" w:rsidR="008D3C87" w:rsidRPr="00D27684" w:rsidRDefault="001A057D">
      <w:pPr>
        <w:pStyle w:val="Default"/>
        <w:numPr>
          <w:ilvl w:val="0"/>
          <w:numId w:val="3"/>
        </w:numPr>
        <w:ind w:left="360"/>
        <w:rPr>
          <w:rFonts w:ascii="Arial" w:hAnsi="Arial" w:cs="Arial"/>
          <w:color w:val="auto"/>
          <w:sz w:val="20"/>
          <w:szCs w:val="20"/>
        </w:rPr>
      </w:pPr>
      <w:proofErr w:type="spellStart"/>
      <w:r w:rsidRPr="00D27684">
        <w:rPr>
          <w:rFonts w:ascii="Arial" w:hAnsi="Arial" w:cs="Arial"/>
          <w:color w:val="auto"/>
          <w:sz w:val="20"/>
          <w:szCs w:val="20"/>
        </w:rPr>
        <w:t>Shippee</w:t>
      </w:r>
      <w:proofErr w:type="spellEnd"/>
      <w:r w:rsidRPr="00D27684">
        <w:rPr>
          <w:rFonts w:ascii="Arial" w:hAnsi="Arial" w:cs="Arial"/>
          <w:color w:val="auto"/>
          <w:sz w:val="20"/>
          <w:szCs w:val="20"/>
        </w:rPr>
        <w:t xml:space="preserve">-Rice RV, Long JV, Fetzer SJ. Neurological. In: </w:t>
      </w:r>
      <w:proofErr w:type="spellStart"/>
      <w:r w:rsidRPr="00D27684">
        <w:rPr>
          <w:rFonts w:ascii="Arial" w:hAnsi="Arial" w:cs="Arial"/>
          <w:color w:val="auto"/>
          <w:sz w:val="20"/>
          <w:szCs w:val="20"/>
        </w:rPr>
        <w:t>Shippee</w:t>
      </w:r>
      <w:proofErr w:type="spellEnd"/>
      <w:r w:rsidRPr="00D27684">
        <w:rPr>
          <w:rFonts w:ascii="Arial" w:hAnsi="Arial" w:cs="Arial"/>
          <w:color w:val="auto"/>
          <w:sz w:val="20"/>
          <w:szCs w:val="20"/>
        </w:rPr>
        <w:t xml:space="preserve">-Rice RV, Fetzer SJ, Long Jennifer V, eds. </w:t>
      </w:r>
      <w:proofErr w:type="spellStart"/>
      <w:r w:rsidRPr="00D27684">
        <w:rPr>
          <w:rFonts w:ascii="Arial" w:hAnsi="Arial" w:cs="Arial"/>
          <w:i/>
          <w:iCs/>
          <w:color w:val="auto"/>
          <w:sz w:val="20"/>
          <w:szCs w:val="20"/>
        </w:rPr>
        <w:t>Gerioperative</w:t>
      </w:r>
      <w:proofErr w:type="spellEnd"/>
      <w:r w:rsidRPr="00D27684">
        <w:rPr>
          <w:rFonts w:ascii="Arial" w:hAnsi="Arial" w:cs="Arial"/>
          <w:i/>
          <w:iCs/>
          <w:color w:val="auto"/>
          <w:sz w:val="20"/>
          <w:szCs w:val="20"/>
        </w:rPr>
        <w:t xml:space="preserve"> Nursing Care: Principles and Practices of Surgical Care for the Older Adult. </w:t>
      </w:r>
      <w:r w:rsidRPr="00D27684">
        <w:rPr>
          <w:rFonts w:ascii="Arial" w:hAnsi="Arial" w:cs="Arial"/>
          <w:color w:val="auto"/>
          <w:sz w:val="20"/>
          <w:szCs w:val="20"/>
        </w:rPr>
        <w:t xml:space="preserve">New York, NY: Springer; 2012:265-285. </w:t>
      </w:r>
    </w:p>
    <w:p w14:paraId="606BF2EF" w14:textId="77777777" w:rsidR="008D3C87" w:rsidRPr="00D27684" w:rsidRDefault="001A057D">
      <w:pPr>
        <w:pStyle w:val="ListParagraph"/>
        <w:numPr>
          <w:ilvl w:val="0"/>
          <w:numId w:val="3"/>
        </w:numPr>
        <w:spacing w:before="240" w:after="160" w:line="259" w:lineRule="auto"/>
        <w:ind w:left="360"/>
        <w:rPr>
          <w:rFonts w:ascii="Arial" w:eastAsia="Arial" w:hAnsi="Arial"/>
          <w:sz w:val="20"/>
        </w:rPr>
      </w:pPr>
      <w:proofErr w:type="spellStart"/>
      <w:r w:rsidRPr="00D27684">
        <w:rPr>
          <w:rFonts w:ascii="Arial" w:eastAsia="Arial" w:hAnsi="Arial"/>
          <w:sz w:val="20"/>
        </w:rPr>
        <w:t>Zenilman</w:t>
      </w:r>
      <w:proofErr w:type="spellEnd"/>
      <w:r w:rsidRPr="00D27684">
        <w:rPr>
          <w:rFonts w:ascii="Arial" w:eastAsia="Arial" w:hAnsi="Arial"/>
          <w:sz w:val="20"/>
        </w:rPr>
        <w:t xml:space="preserve"> ME, Chow WB, Ko CY, et al. </w:t>
      </w:r>
      <w:proofErr w:type="gramStart"/>
      <w:r w:rsidRPr="00D27684">
        <w:rPr>
          <w:rFonts w:ascii="Arial" w:eastAsia="Arial" w:hAnsi="Arial"/>
          <w:sz w:val="20"/>
        </w:rPr>
        <w:t>New</w:t>
      </w:r>
      <w:proofErr w:type="gramEnd"/>
      <w:r w:rsidRPr="00D27684">
        <w:rPr>
          <w:rFonts w:ascii="Arial" w:eastAsia="Arial" w:hAnsi="Arial"/>
          <w:sz w:val="20"/>
        </w:rPr>
        <w:t xml:space="preserve"> developments in geriatric surgery. </w:t>
      </w:r>
      <w:proofErr w:type="spellStart"/>
      <w:r w:rsidRPr="00D27684">
        <w:rPr>
          <w:rFonts w:ascii="Arial" w:eastAsia="Arial" w:hAnsi="Arial"/>
          <w:i/>
          <w:sz w:val="20"/>
        </w:rPr>
        <w:t>Curr</w:t>
      </w:r>
      <w:proofErr w:type="spellEnd"/>
      <w:r w:rsidRPr="00D27684">
        <w:rPr>
          <w:rFonts w:ascii="Arial" w:eastAsia="Arial" w:hAnsi="Arial"/>
          <w:i/>
          <w:sz w:val="20"/>
        </w:rPr>
        <w:t xml:space="preserve"> </w:t>
      </w:r>
      <w:proofErr w:type="spellStart"/>
      <w:r w:rsidRPr="00D27684">
        <w:rPr>
          <w:rFonts w:ascii="Arial" w:eastAsia="Arial" w:hAnsi="Arial"/>
          <w:i/>
          <w:sz w:val="20"/>
        </w:rPr>
        <w:t>Probl</w:t>
      </w:r>
      <w:proofErr w:type="spellEnd"/>
      <w:r w:rsidRPr="00D27684">
        <w:rPr>
          <w:rFonts w:ascii="Arial" w:eastAsia="Arial" w:hAnsi="Arial"/>
          <w:i/>
          <w:sz w:val="20"/>
        </w:rPr>
        <w:t xml:space="preserve"> Surg.</w:t>
      </w:r>
      <w:r w:rsidRPr="00D27684">
        <w:rPr>
          <w:rFonts w:ascii="Arial" w:eastAsia="Arial" w:hAnsi="Arial"/>
          <w:sz w:val="20"/>
        </w:rPr>
        <w:t xml:space="preserve"> 2011;48(10):670-754.</w:t>
      </w:r>
    </w:p>
    <w:p w14:paraId="2853A693" w14:textId="77777777" w:rsidR="008D3C87" w:rsidRPr="00D27684" w:rsidRDefault="001A057D">
      <w:pPr>
        <w:pStyle w:val="ListParagraph"/>
        <w:numPr>
          <w:ilvl w:val="0"/>
          <w:numId w:val="3"/>
        </w:numPr>
        <w:spacing w:before="240" w:after="160" w:line="259" w:lineRule="auto"/>
        <w:ind w:left="360"/>
        <w:rPr>
          <w:rFonts w:ascii="Arial" w:eastAsia="Arial" w:hAnsi="Arial"/>
          <w:sz w:val="20"/>
        </w:rPr>
      </w:pPr>
      <w:r w:rsidRPr="00D27684">
        <w:rPr>
          <w:rFonts w:ascii="Arial" w:eastAsia="Arial" w:hAnsi="Arial"/>
          <w:sz w:val="20"/>
        </w:rPr>
        <w:t xml:space="preserve">Pelletier D, </w:t>
      </w:r>
      <w:proofErr w:type="spellStart"/>
      <w:r w:rsidRPr="00D27684">
        <w:rPr>
          <w:rFonts w:ascii="Arial" w:eastAsia="Arial" w:hAnsi="Arial"/>
          <w:sz w:val="20"/>
        </w:rPr>
        <w:t>Shippee</w:t>
      </w:r>
      <w:proofErr w:type="spellEnd"/>
      <w:r w:rsidRPr="00D27684">
        <w:rPr>
          <w:rFonts w:ascii="Arial" w:eastAsia="Arial" w:hAnsi="Arial"/>
          <w:sz w:val="20"/>
        </w:rPr>
        <w:t xml:space="preserve">-Rice RV, Long JV, Fetzer SJ. </w:t>
      </w:r>
      <w:proofErr w:type="spellStart"/>
      <w:r w:rsidRPr="00D27684">
        <w:rPr>
          <w:rFonts w:ascii="Arial" w:eastAsia="Arial" w:hAnsi="Arial"/>
          <w:sz w:val="20"/>
        </w:rPr>
        <w:t>Gerioperative</w:t>
      </w:r>
      <w:proofErr w:type="spellEnd"/>
      <w:r w:rsidRPr="00D27684">
        <w:rPr>
          <w:rFonts w:ascii="Arial" w:eastAsia="Arial" w:hAnsi="Arial"/>
          <w:sz w:val="20"/>
        </w:rPr>
        <w:t xml:space="preserve"> coaching. In: </w:t>
      </w:r>
      <w:proofErr w:type="spellStart"/>
      <w:r w:rsidRPr="00D27684">
        <w:rPr>
          <w:rFonts w:ascii="Arial" w:eastAsia="Arial" w:hAnsi="Arial"/>
          <w:sz w:val="20"/>
        </w:rPr>
        <w:t>Shippee</w:t>
      </w:r>
      <w:proofErr w:type="spellEnd"/>
      <w:r w:rsidRPr="00D27684">
        <w:rPr>
          <w:rFonts w:ascii="Arial" w:eastAsia="Arial" w:hAnsi="Arial"/>
          <w:sz w:val="20"/>
        </w:rPr>
        <w:t xml:space="preserve">-Rice RV, Fetzer SJ, Long Jennifer V, eds. </w:t>
      </w:r>
      <w:proofErr w:type="spellStart"/>
      <w:r w:rsidRPr="00D27684">
        <w:rPr>
          <w:rFonts w:ascii="Arial" w:eastAsia="Arial" w:hAnsi="Arial"/>
          <w:i/>
          <w:sz w:val="20"/>
        </w:rPr>
        <w:t>Gerioperative</w:t>
      </w:r>
      <w:proofErr w:type="spellEnd"/>
      <w:r w:rsidRPr="00D27684">
        <w:rPr>
          <w:rFonts w:ascii="Arial" w:eastAsia="Arial" w:hAnsi="Arial"/>
          <w:i/>
          <w:sz w:val="20"/>
        </w:rPr>
        <w:t xml:space="preserve"> Nursing Care: Principles and Practices of Surgical Care for the Older Adult.</w:t>
      </w:r>
      <w:r w:rsidRPr="00D27684">
        <w:rPr>
          <w:rFonts w:ascii="Arial" w:eastAsia="Arial" w:hAnsi="Arial"/>
          <w:sz w:val="20"/>
        </w:rPr>
        <w:t xml:space="preserve"> New York, NY: Springer; 2012:107-126.</w:t>
      </w:r>
    </w:p>
    <w:p w14:paraId="2C2A1086" w14:textId="77777777" w:rsidR="008D3C87" w:rsidRPr="00D27684" w:rsidRDefault="001A057D">
      <w:pPr>
        <w:pStyle w:val="ListParagraph"/>
        <w:numPr>
          <w:ilvl w:val="0"/>
          <w:numId w:val="3"/>
        </w:numPr>
        <w:spacing w:before="240" w:after="160" w:line="259" w:lineRule="auto"/>
        <w:ind w:left="360"/>
        <w:rPr>
          <w:rFonts w:ascii="Arial" w:eastAsia="Arial" w:hAnsi="Arial"/>
          <w:sz w:val="20"/>
        </w:rPr>
      </w:pPr>
      <w:proofErr w:type="spellStart"/>
      <w:r w:rsidRPr="00D27684">
        <w:rPr>
          <w:rFonts w:ascii="Arial" w:eastAsia="Arial" w:hAnsi="Arial"/>
          <w:sz w:val="20"/>
        </w:rPr>
        <w:t>Shippee</w:t>
      </w:r>
      <w:proofErr w:type="spellEnd"/>
      <w:r w:rsidRPr="00D27684">
        <w:rPr>
          <w:rFonts w:ascii="Arial" w:eastAsia="Arial" w:hAnsi="Arial"/>
          <w:sz w:val="20"/>
        </w:rPr>
        <w:t xml:space="preserve">-Rice RV, Fetzer SJ, Long JV. Depression and dementia. In: </w:t>
      </w:r>
      <w:proofErr w:type="spellStart"/>
      <w:r w:rsidRPr="00D27684">
        <w:rPr>
          <w:rFonts w:ascii="Arial" w:eastAsia="Arial" w:hAnsi="Arial"/>
          <w:sz w:val="20"/>
        </w:rPr>
        <w:t>Shippee</w:t>
      </w:r>
      <w:proofErr w:type="spellEnd"/>
      <w:r w:rsidRPr="00D27684">
        <w:rPr>
          <w:rFonts w:ascii="Arial" w:eastAsia="Arial" w:hAnsi="Arial"/>
          <w:sz w:val="20"/>
        </w:rPr>
        <w:t xml:space="preserve">-Rice RV, Fetzer SJ, Long Jennifer V, eds. </w:t>
      </w:r>
      <w:proofErr w:type="spellStart"/>
      <w:r w:rsidRPr="00D27684">
        <w:rPr>
          <w:rFonts w:ascii="Arial" w:eastAsia="Arial" w:hAnsi="Arial"/>
          <w:i/>
          <w:sz w:val="20"/>
        </w:rPr>
        <w:t>Gerioperative</w:t>
      </w:r>
      <w:proofErr w:type="spellEnd"/>
      <w:r w:rsidRPr="00D27684">
        <w:rPr>
          <w:rFonts w:ascii="Arial" w:eastAsia="Arial" w:hAnsi="Arial"/>
          <w:i/>
          <w:sz w:val="20"/>
        </w:rPr>
        <w:t xml:space="preserve"> Nursing Care: Principles and Practices of Surgical Care for the Older Adult. </w:t>
      </w:r>
      <w:r w:rsidRPr="00D27684">
        <w:rPr>
          <w:rFonts w:ascii="Arial" w:eastAsia="Arial" w:hAnsi="Arial"/>
          <w:sz w:val="20"/>
        </w:rPr>
        <w:t>New York, NY: Springer; 2012:423-444.</w:t>
      </w:r>
    </w:p>
    <w:p w14:paraId="64C8A438" w14:textId="77777777" w:rsidR="008D3C87" w:rsidRPr="00D27684" w:rsidRDefault="001A057D">
      <w:pPr>
        <w:pStyle w:val="ListParagraph"/>
        <w:numPr>
          <w:ilvl w:val="0"/>
          <w:numId w:val="3"/>
        </w:numPr>
        <w:ind w:left="360"/>
        <w:rPr>
          <w:rFonts w:ascii="Arial" w:hAnsi="Arial" w:cs="Arial"/>
          <w:sz w:val="20"/>
          <w:szCs w:val="20"/>
        </w:rPr>
      </w:pPr>
      <w:r w:rsidRPr="00D27684">
        <w:rPr>
          <w:rFonts w:ascii="Arial" w:hAnsi="Arial" w:cs="Arial"/>
          <w:sz w:val="20"/>
          <w:szCs w:val="20"/>
        </w:rPr>
        <w:t xml:space="preserve">Guideline for care of the patient receiving moderate sedation/analgesia. In: </w:t>
      </w:r>
      <w:r w:rsidRPr="00D27684">
        <w:rPr>
          <w:rFonts w:ascii="Arial" w:hAnsi="Arial" w:cs="Arial"/>
          <w:i/>
          <w:iCs/>
          <w:sz w:val="20"/>
          <w:szCs w:val="20"/>
        </w:rPr>
        <w:t xml:space="preserve">Guidelines for Perioperative Practice. </w:t>
      </w:r>
      <w:r w:rsidRPr="00D27684">
        <w:rPr>
          <w:rFonts w:ascii="Arial" w:hAnsi="Arial" w:cs="Arial"/>
          <w:sz w:val="20"/>
          <w:szCs w:val="20"/>
        </w:rPr>
        <w:t xml:space="preserve">Denver, CO: AORN, Inc; 2022:571-602.  </w:t>
      </w:r>
    </w:p>
    <w:p w14:paraId="0050D363" w14:textId="40AC688C" w:rsidR="008D3C87" w:rsidRPr="00D27684" w:rsidRDefault="001A057D">
      <w:pPr>
        <w:pStyle w:val="ListParagraph"/>
        <w:numPr>
          <w:ilvl w:val="0"/>
          <w:numId w:val="3"/>
        </w:numPr>
        <w:spacing w:before="240" w:after="160" w:line="259" w:lineRule="auto"/>
        <w:ind w:left="360"/>
        <w:rPr>
          <w:rFonts w:ascii="Arial" w:eastAsia="Arial" w:hAnsi="Arial" w:cs="Arial"/>
          <w:sz w:val="20"/>
          <w:szCs w:val="20"/>
        </w:rPr>
      </w:pPr>
      <w:r w:rsidRPr="00D27684">
        <w:rPr>
          <w:rFonts w:ascii="Arial" w:eastAsia="Arial" w:hAnsi="Arial" w:cs="Arial"/>
          <w:sz w:val="20"/>
          <w:szCs w:val="20"/>
        </w:rPr>
        <w:t xml:space="preserve">Strong for </w:t>
      </w:r>
      <w:r w:rsidRPr="00D27684">
        <w:rPr>
          <w:rFonts w:ascii="Arial" w:eastAsia="Arial" w:hAnsi="Arial"/>
          <w:sz w:val="20"/>
        </w:rPr>
        <w:t>Surgery</w:t>
      </w:r>
      <w:r w:rsidRPr="00D27684">
        <w:rPr>
          <w:rFonts w:ascii="Arial" w:eastAsia="Arial" w:hAnsi="Arial" w:cs="Arial"/>
          <w:sz w:val="20"/>
          <w:szCs w:val="20"/>
        </w:rPr>
        <w:t xml:space="preserve">. </w:t>
      </w:r>
      <w:proofErr w:type="spellStart"/>
      <w:r w:rsidRPr="00D27684">
        <w:rPr>
          <w:rFonts w:ascii="Arial" w:eastAsia="Arial" w:hAnsi="Arial" w:cs="Arial"/>
          <w:sz w:val="20"/>
          <w:szCs w:val="20"/>
        </w:rPr>
        <w:t>Prehabilitation</w:t>
      </w:r>
      <w:proofErr w:type="spellEnd"/>
      <w:r w:rsidRPr="00D27684">
        <w:rPr>
          <w:rFonts w:ascii="Arial" w:eastAsia="Arial" w:hAnsi="Arial" w:cs="Arial"/>
          <w:sz w:val="20"/>
          <w:szCs w:val="20"/>
        </w:rPr>
        <w:t xml:space="preserve">. </w:t>
      </w:r>
      <w:r w:rsidRPr="00D27684">
        <w:rPr>
          <w:rFonts w:ascii="Arial" w:eastAsia="Arial" w:hAnsi="Arial"/>
          <w:sz w:val="20"/>
        </w:rPr>
        <w:t xml:space="preserve">American College of Surgeons. </w:t>
      </w:r>
      <w:r w:rsidRPr="00D27684">
        <w:rPr>
          <w:rFonts w:ascii="Arial" w:eastAsia="Arial" w:hAnsi="Arial" w:cs="Arial"/>
          <w:sz w:val="20"/>
          <w:szCs w:val="20"/>
        </w:rPr>
        <w:t xml:space="preserve">Accessed August 3, 2022. </w:t>
      </w:r>
      <w:hyperlink r:id="rId16" w:history="1">
        <w:r w:rsidR="00437B87" w:rsidRPr="00D27684">
          <w:rPr>
            <w:rStyle w:val="Hyperlink"/>
            <w:rFonts w:ascii="Arial" w:eastAsia="Arial" w:hAnsi="Arial" w:cs="Arial"/>
            <w:color w:val="auto"/>
            <w:sz w:val="20"/>
            <w:szCs w:val="20"/>
          </w:rPr>
          <w:t>https://www.facs.org/quality-programs/strong-for-surgery/clinicians/prehabilitation/</w:t>
        </w:r>
      </w:hyperlink>
      <w:bookmarkStart w:id="0" w:name="_Hlk110433618"/>
      <w:bookmarkEnd w:id="0"/>
    </w:p>
    <w:p w14:paraId="59E8C020" w14:textId="5A7EF044" w:rsidR="00437B87" w:rsidRPr="00D27684" w:rsidRDefault="00437B87" w:rsidP="00660B2B">
      <w:pPr>
        <w:pStyle w:val="StatementText"/>
        <w:numPr>
          <w:ilvl w:val="0"/>
          <w:numId w:val="3"/>
        </w:numPr>
        <w:tabs>
          <w:tab w:val="left" w:pos="3240"/>
        </w:tabs>
        <w:ind w:left="360"/>
      </w:pPr>
      <w:r w:rsidRPr="00D27684">
        <w:t>Clark GD, Lucas K, &amp; Stephens L. (1994). Ethical dilemmas and decisions concerning the do-not-resuscitate patient undergoing anesthesia. </w:t>
      </w:r>
      <w:r w:rsidRPr="00D27684">
        <w:rPr>
          <w:i/>
          <w:highlight w:val="white"/>
        </w:rPr>
        <w:t>AANA Journal</w:t>
      </w:r>
      <w:r w:rsidRPr="00D27684">
        <w:t>, </w:t>
      </w:r>
      <w:r w:rsidRPr="00D27684">
        <w:rPr>
          <w:i/>
          <w:highlight w:val="white"/>
        </w:rPr>
        <w:t>62</w:t>
      </w:r>
      <w:r w:rsidRPr="00D27684">
        <w:t xml:space="preserve">(3), 253–256. </w:t>
      </w:r>
    </w:p>
    <w:p w14:paraId="34F8CDDB" w14:textId="3B694BEF" w:rsidR="00437B87" w:rsidRPr="00660B2B" w:rsidRDefault="00437B87" w:rsidP="00660B2B">
      <w:pPr>
        <w:pStyle w:val="ListParagraph"/>
        <w:widowControl w:val="0"/>
        <w:numPr>
          <w:ilvl w:val="0"/>
          <w:numId w:val="3"/>
        </w:numPr>
        <w:autoSpaceDE w:val="0"/>
        <w:autoSpaceDN w:val="0"/>
        <w:ind w:left="360"/>
        <w:contextualSpacing/>
        <w:rPr>
          <w:rFonts w:ascii="Arial" w:hAnsi="Arial" w:cs="Arial"/>
          <w:b/>
          <w:bCs/>
          <w:sz w:val="20"/>
          <w:szCs w:val="20"/>
          <w:shd w:val="clear" w:color="auto" w:fill="FFFFFF"/>
        </w:rPr>
      </w:pPr>
      <w:r w:rsidRPr="00D27684">
        <w:rPr>
          <w:rFonts w:ascii="Arial" w:hAnsi="Arial" w:cs="Arial"/>
          <w:sz w:val="20"/>
          <w:szCs w:val="20"/>
          <w:shd w:val="clear" w:color="auto" w:fill="FFFFFF"/>
        </w:rPr>
        <w:t>Hinkle, J. &amp; Cheever, K</w:t>
      </w:r>
      <w:r w:rsidRPr="00D27684">
        <w:rPr>
          <w:rFonts w:ascii="Arial" w:hAnsi="Arial" w:cs="Arial"/>
          <w:i/>
          <w:iCs/>
          <w:sz w:val="20"/>
          <w:szCs w:val="20"/>
          <w:shd w:val="clear" w:color="auto" w:fill="FFFFFF"/>
        </w:rPr>
        <w:t xml:space="preserve">., (2018) Lippincott </w:t>
      </w:r>
      <w:proofErr w:type="spellStart"/>
      <w:r w:rsidRPr="00D27684">
        <w:rPr>
          <w:rFonts w:ascii="Arial" w:hAnsi="Arial" w:cs="Arial"/>
          <w:i/>
          <w:iCs/>
          <w:sz w:val="20"/>
          <w:szCs w:val="20"/>
          <w:shd w:val="clear" w:color="auto" w:fill="FFFFFF"/>
        </w:rPr>
        <w:t>CoursePoint</w:t>
      </w:r>
      <w:proofErr w:type="spellEnd"/>
      <w:r w:rsidRPr="00D27684">
        <w:rPr>
          <w:rFonts w:ascii="Arial" w:hAnsi="Arial" w:cs="Arial"/>
          <w:i/>
          <w:iCs/>
          <w:sz w:val="20"/>
          <w:szCs w:val="20"/>
          <w:shd w:val="clear" w:color="auto" w:fill="FFFFFF"/>
        </w:rPr>
        <w:t xml:space="preserve"> for Brunner &amp; </w:t>
      </w:r>
      <w:proofErr w:type="spellStart"/>
      <w:r w:rsidRPr="00D27684">
        <w:rPr>
          <w:rFonts w:ascii="Arial" w:hAnsi="Arial" w:cs="Arial"/>
          <w:i/>
          <w:iCs/>
          <w:sz w:val="20"/>
          <w:szCs w:val="20"/>
          <w:shd w:val="clear" w:color="auto" w:fill="FFFFFF"/>
        </w:rPr>
        <w:t>Suddarth's</w:t>
      </w:r>
      <w:proofErr w:type="spellEnd"/>
      <w:r w:rsidRPr="00D27684">
        <w:rPr>
          <w:rFonts w:ascii="Arial" w:hAnsi="Arial" w:cs="Arial"/>
          <w:i/>
          <w:iCs/>
          <w:sz w:val="20"/>
          <w:szCs w:val="20"/>
          <w:shd w:val="clear" w:color="auto" w:fill="FFFFFF"/>
        </w:rPr>
        <w:t xml:space="preserve"> Textbook of Medical-Surgical Nursing, 14</w:t>
      </w:r>
      <w:r w:rsidRPr="00D27684">
        <w:rPr>
          <w:rFonts w:ascii="Arial" w:hAnsi="Arial" w:cs="Arial"/>
          <w:i/>
          <w:iCs/>
          <w:sz w:val="20"/>
          <w:szCs w:val="20"/>
          <w:shd w:val="clear" w:color="auto" w:fill="FFFFFF"/>
          <w:vertAlign w:val="superscript"/>
        </w:rPr>
        <w:t>th</w:t>
      </w:r>
      <w:r w:rsidRPr="00D27684">
        <w:rPr>
          <w:rFonts w:ascii="Arial" w:hAnsi="Arial" w:cs="Arial"/>
          <w:i/>
          <w:iCs/>
          <w:sz w:val="20"/>
          <w:szCs w:val="20"/>
          <w:shd w:val="clear" w:color="auto" w:fill="FFFFFF"/>
        </w:rPr>
        <w:t xml:space="preserve"> ed.  </w:t>
      </w:r>
      <w:r w:rsidRPr="00D27684">
        <w:rPr>
          <w:rFonts w:ascii="Arial" w:hAnsi="Arial" w:cs="Arial"/>
          <w:sz w:val="20"/>
          <w:szCs w:val="20"/>
          <w:shd w:val="clear" w:color="auto" w:fill="FFFFFF"/>
        </w:rPr>
        <w:t xml:space="preserve">Philadelphia, PA: Wolters </w:t>
      </w:r>
      <w:proofErr w:type="spellStart"/>
      <w:r w:rsidRPr="00D27684">
        <w:rPr>
          <w:rFonts w:ascii="Arial" w:hAnsi="Arial" w:cs="Arial"/>
          <w:sz w:val="20"/>
          <w:szCs w:val="20"/>
          <w:shd w:val="clear" w:color="auto" w:fill="FFFFFF"/>
        </w:rPr>
        <w:t>Kluver</w:t>
      </w:r>
      <w:proofErr w:type="spellEnd"/>
      <w:r w:rsidRPr="00D27684">
        <w:rPr>
          <w:rFonts w:ascii="Arial" w:hAnsi="Arial" w:cs="Arial"/>
          <w:sz w:val="20"/>
          <w:szCs w:val="20"/>
          <w:shd w:val="clear" w:color="auto" w:fill="FFFFFF"/>
        </w:rPr>
        <w:t xml:space="preserve">. </w:t>
      </w:r>
      <w:proofErr w:type="gramStart"/>
      <w:r w:rsidRPr="00D27684">
        <w:rPr>
          <w:rFonts w:ascii="Arial" w:hAnsi="Arial" w:cs="Arial"/>
          <w:sz w:val="20"/>
          <w:szCs w:val="20"/>
          <w:shd w:val="clear" w:color="auto" w:fill="FFFFFF"/>
        </w:rPr>
        <w:t>(</w:t>
      </w:r>
      <w:r w:rsidRPr="00D27684">
        <w:rPr>
          <w:rFonts w:ascii="Arial" w:hAnsi="Arial" w:cs="Arial"/>
          <w:i/>
          <w:iCs/>
          <w:sz w:val="20"/>
          <w:szCs w:val="20"/>
          <w:shd w:val="clear" w:color="auto" w:fill="FFFFFF"/>
        </w:rPr>
        <w:t xml:space="preserve"> </w:t>
      </w:r>
      <w:r w:rsidRPr="00D27684">
        <w:rPr>
          <w:rFonts w:ascii="Arial" w:hAnsi="Arial" w:cs="Arial"/>
          <w:sz w:val="20"/>
          <w:szCs w:val="20"/>
          <w:shd w:val="clear" w:color="auto" w:fill="FFFFFF"/>
        </w:rPr>
        <w:t>ISBN</w:t>
      </w:r>
      <w:proofErr w:type="gramEnd"/>
      <w:r w:rsidRPr="00D27684">
        <w:rPr>
          <w:rFonts w:ascii="Arial" w:hAnsi="Arial" w:cs="Arial"/>
          <w:sz w:val="20"/>
          <w:szCs w:val="20"/>
          <w:shd w:val="clear" w:color="auto" w:fill="FFFFFF"/>
        </w:rPr>
        <w:t> 978-1496347992</w:t>
      </w:r>
      <w:r w:rsidRPr="00D27684">
        <w:rPr>
          <w:rFonts w:ascii="Arial" w:hAnsi="Arial" w:cs="Arial"/>
          <w:i/>
          <w:iCs/>
          <w:sz w:val="20"/>
          <w:szCs w:val="20"/>
          <w:shd w:val="clear" w:color="auto" w:fill="FFFFFF"/>
        </w:rPr>
        <w:t xml:space="preserve">) </w:t>
      </w:r>
    </w:p>
    <w:p w14:paraId="37CA24AD" w14:textId="77777777" w:rsidR="008D3C87" w:rsidRPr="00D27684" w:rsidRDefault="001A057D">
      <w:pPr>
        <w:pStyle w:val="Heading20"/>
        <w:tabs>
          <w:tab w:val="left" w:pos="3240"/>
        </w:tabs>
      </w:pPr>
      <w:r w:rsidRPr="00D27684">
        <w:t>Publication History</w:t>
      </w:r>
    </w:p>
    <w:p w14:paraId="60EDE507" w14:textId="77777777" w:rsidR="008D3C87" w:rsidRPr="00D27684" w:rsidRDefault="001A057D">
      <w:pPr>
        <w:pStyle w:val="HistoryText"/>
        <w:tabs>
          <w:tab w:val="left" w:pos="3240"/>
        </w:tabs>
      </w:pPr>
      <w:r w:rsidRPr="00D27684">
        <w:lastRenderedPageBreak/>
        <w:t xml:space="preserve">Original approved by the House of Delegates, March 2010 </w:t>
      </w:r>
    </w:p>
    <w:p w14:paraId="21782027" w14:textId="77777777" w:rsidR="008D3C87" w:rsidRPr="00D27684" w:rsidRDefault="001A057D">
      <w:pPr>
        <w:pStyle w:val="HistoryText"/>
        <w:tabs>
          <w:tab w:val="left" w:pos="3240"/>
        </w:tabs>
      </w:pPr>
      <w:r w:rsidRPr="00D27684">
        <w:t xml:space="preserve">Revision approved by the Board of Directors, January 2015 </w:t>
      </w:r>
    </w:p>
    <w:p w14:paraId="18762D25" w14:textId="77777777" w:rsidR="008D3C87" w:rsidRPr="00D27684" w:rsidRDefault="001A057D">
      <w:pPr>
        <w:pStyle w:val="HistoryText"/>
        <w:tabs>
          <w:tab w:val="left" w:pos="3240"/>
        </w:tabs>
      </w:pPr>
      <w:r w:rsidRPr="00D27684">
        <w:t>Sunset review: 2020</w:t>
      </w:r>
    </w:p>
    <w:sectPr w:rsidR="008D3C87" w:rsidRPr="00D27684">
      <w:footerReference w:type="default" r:id="rId17"/>
      <w:pgSz w:w="12000" w:h="17100"/>
      <w:pgMar w:top="1440" w:right="1560" w:bottom="1440" w:left="1800" w:header="0" w:footer="746"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7D926" w14:textId="77777777" w:rsidR="00622761" w:rsidRDefault="00622761">
      <w:r>
        <w:separator/>
      </w:r>
    </w:p>
  </w:endnote>
  <w:endnote w:type="continuationSeparator" w:id="0">
    <w:p w14:paraId="5B3CCB3A" w14:textId="77777777" w:rsidR="00622761" w:rsidRDefault="00622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303106"/>
      <w:docPartObj>
        <w:docPartGallery w:val="Page Numbers (Top of Page)"/>
        <w:docPartUnique/>
      </w:docPartObj>
    </w:sdtPr>
    <w:sdtContent>
      <w:p w14:paraId="73310E32" w14:textId="77777777" w:rsidR="008D3C87" w:rsidRDefault="001A057D">
        <w:pPr>
          <w:pStyle w:val="Footer"/>
          <w:tabs>
            <w:tab w:val="right" w:pos="8370"/>
          </w:tabs>
        </w:pPr>
        <w:r>
          <w:rPr>
            <w:rFonts w:ascii="Calibri" w:eastAsia="Calibri" w:hAnsi="Calibri" w:cs="Arial"/>
            <w:sz w:val="20"/>
            <w:szCs w:val="18"/>
          </w:rPr>
          <w:t>Copyright © 2022, AORN, Inc.</w:t>
        </w:r>
        <w:r>
          <w:rPr>
            <w:rFonts w:ascii="Calibri" w:eastAsia="Calibri" w:hAnsi="Calibri" w:cs="Arial"/>
            <w:sz w:val="20"/>
            <w:szCs w:val="18"/>
          </w:rPr>
          <w:tab/>
          <w:t xml:space="preserve">Page </w:t>
        </w:r>
        <w:r>
          <w:rPr>
            <w:rFonts w:ascii="Calibri" w:eastAsia="Calibri" w:hAnsi="Calibri" w:cs="Arial"/>
            <w:b/>
            <w:bCs/>
            <w:sz w:val="20"/>
            <w:szCs w:val="18"/>
          </w:rPr>
          <w:fldChar w:fldCharType="begin"/>
        </w:r>
        <w:r>
          <w:rPr>
            <w:rFonts w:ascii="Calibri" w:eastAsia="Calibri" w:hAnsi="Calibri" w:cs="Arial"/>
            <w:b/>
            <w:bCs/>
            <w:sz w:val="20"/>
            <w:szCs w:val="18"/>
          </w:rPr>
          <w:instrText>PAGE</w:instrText>
        </w:r>
        <w:r>
          <w:rPr>
            <w:rFonts w:ascii="Calibri" w:eastAsia="Calibri" w:hAnsi="Calibri" w:cs="Arial"/>
            <w:b/>
            <w:bCs/>
            <w:sz w:val="20"/>
            <w:szCs w:val="18"/>
          </w:rPr>
          <w:fldChar w:fldCharType="separate"/>
        </w:r>
        <w:r>
          <w:rPr>
            <w:rFonts w:ascii="Calibri" w:eastAsia="Calibri" w:hAnsi="Calibri" w:cs="Arial"/>
            <w:b/>
            <w:bCs/>
            <w:sz w:val="20"/>
            <w:szCs w:val="18"/>
          </w:rPr>
          <w:t>7</w:t>
        </w:r>
        <w:r>
          <w:rPr>
            <w:rFonts w:ascii="Calibri" w:eastAsia="Calibri" w:hAnsi="Calibri" w:cs="Arial"/>
            <w:b/>
            <w:bCs/>
            <w:sz w:val="20"/>
            <w:szCs w:val="18"/>
          </w:rPr>
          <w:fldChar w:fldCharType="end"/>
        </w:r>
        <w:r>
          <w:rPr>
            <w:rFonts w:ascii="Calibri" w:eastAsia="Calibri" w:hAnsi="Calibri" w:cs="Arial"/>
            <w:sz w:val="20"/>
            <w:szCs w:val="18"/>
          </w:rPr>
          <w:t xml:space="preserve"> of </w:t>
        </w:r>
        <w:r>
          <w:rPr>
            <w:rFonts w:ascii="Calibri" w:eastAsia="Calibri" w:hAnsi="Calibri" w:cs="Arial"/>
            <w:b/>
            <w:bCs/>
            <w:sz w:val="20"/>
            <w:szCs w:val="18"/>
          </w:rPr>
          <w:fldChar w:fldCharType="begin"/>
        </w:r>
        <w:r>
          <w:rPr>
            <w:rFonts w:ascii="Calibri" w:eastAsia="Calibri" w:hAnsi="Calibri" w:cs="Arial"/>
            <w:b/>
            <w:bCs/>
            <w:sz w:val="20"/>
            <w:szCs w:val="18"/>
          </w:rPr>
          <w:instrText>NUMPAGES</w:instrText>
        </w:r>
        <w:r>
          <w:rPr>
            <w:rFonts w:ascii="Calibri" w:eastAsia="Calibri" w:hAnsi="Calibri" w:cs="Arial"/>
            <w:b/>
            <w:bCs/>
            <w:sz w:val="20"/>
            <w:szCs w:val="18"/>
          </w:rPr>
          <w:fldChar w:fldCharType="separate"/>
        </w:r>
        <w:r>
          <w:rPr>
            <w:rFonts w:ascii="Calibri" w:eastAsia="Calibri" w:hAnsi="Calibri" w:cs="Arial"/>
            <w:b/>
            <w:bCs/>
            <w:sz w:val="20"/>
            <w:szCs w:val="18"/>
          </w:rPr>
          <w:t>7</w:t>
        </w:r>
        <w:r>
          <w:rPr>
            <w:rFonts w:ascii="Calibri" w:eastAsia="Calibri" w:hAnsi="Calibri" w:cs="Arial"/>
            <w:b/>
            <w:bCs/>
            <w:sz w:val="20"/>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F517A" w14:textId="77777777" w:rsidR="00622761" w:rsidRDefault="00622761">
      <w:r>
        <w:separator/>
      </w:r>
    </w:p>
  </w:footnote>
  <w:footnote w:type="continuationSeparator" w:id="0">
    <w:p w14:paraId="13BEF925" w14:textId="77777777" w:rsidR="00622761" w:rsidRDefault="00622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3E15"/>
    <w:multiLevelType w:val="hybridMultilevel"/>
    <w:tmpl w:val="3BE67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7F20DA"/>
    <w:multiLevelType w:val="multilevel"/>
    <w:tmpl w:val="24066F5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371308E5"/>
    <w:multiLevelType w:val="multilevel"/>
    <w:tmpl w:val="B0764F98"/>
    <w:lvl w:ilvl="0">
      <w:start w:val="1"/>
      <w:numFmt w:val="bullet"/>
      <w:lvlText w:val="•"/>
      <w:lvlJc w:val="left"/>
      <w:pPr>
        <w:ind w:left="466" w:hanging="360"/>
      </w:pPr>
      <w:rPr>
        <w:rFonts w:ascii="Verdana" w:hAnsi="Verdana" w:cs="Verdana" w:hint="default"/>
        <w:b w:val="0"/>
        <w:bCs w:val="0"/>
        <w:i w:val="0"/>
        <w:iCs w:val="0"/>
        <w:w w:val="100"/>
        <w:sz w:val="24"/>
        <w:szCs w:val="24"/>
        <w:lang w:val="en-US" w:eastAsia="en-US" w:bidi="ar-SA"/>
      </w:rPr>
    </w:lvl>
    <w:lvl w:ilvl="1">
      <w:start w:val="1"/>
      <w:numFmt w:val="bullet"/>
      <w:lvlText w:val=""/>
      <w:lvlJc w:val="left"/>
      <w:pPr>
        <w:ind w:left="1350" w:hanging="360"/>
      </w:pPr>
      <w:rPr>
        <w:rFonts w:ascii="Symbol" w:hAnsi="Symbol" w:cs="Symbol" w:hint="default"/>
        <w:lang w:val="en-US" w:eastAsia="en-US" w:bidi="ar-SA"/>
      </w:rPr>
    </w:lvl>
    <w:lvl w:ilvl="2">
      <w:start w:val="1"/>
      <w:numFmt w:val="bullet"/>
      <w:lvlText w:val=""/>
      <w:lvlJc w:val="left"/>
      <w:pPr>
        <w:ind w:left="2240" w:hanging="360"/>
      </w:pPr>
      <w:rPr>
        <w:rFonts w:ascii="Symbol" w:hAnsi="Symbol" w:cs="Symbol" w:hint="default"/>
        <w:lang w:val="en-US" w:eastAsia="en-US" w:bidi="ar-SA"/>
      </w:rPr>
    </w:lvl>
    <w:lvl w:ilvl="3">
      <w:start w:val="1"/>
      <w:numFmt w:val="bullet"/>
      <w:lvlText w:val=""/>
      <w:lvlJc w:val="left"/>
      <w:pPr>
        <w:ind w:left="3130" w:hanging="360"/>
      </w:pPr>
      <w:rPr>
        <w:rFonts w:ascii="Symbol" w:hAnsi="Symbol" w:cs="Symbol" w:hint="default"/>
        <w:lang w:val="en-US" w:eastAsia="en-US" w:bidi="ar-SA"/>
      </w:rPr>
    </w:lvl>
    <w:lvl w:ilvl="4">
      <w:start w:val="1"/>
      <w:numFmt w:val="bullet"/>
      <w:lvlText w:val=""/>
      <w:lvlJc w:val="left"/>
      <w:pPr>
        <w:ind w:left="4020" w:hanging="360"/>
      </w:pPr>
      <w:rPr>
        <w:rFonts w:ascii="Symbol" w:hAnsi="Symbol" w:cs="Symbol" w:hint="default"/>
        <w:lang w:val="en-US" w:eastAsia="en-US" w:bidi="ar-SA"/>
      </w:rPr>
    </w:lvl>
    <w:lvl w:ilvl="5">
      <w:start w:val="1"/>
      <w:numFmt w:val="bullet"/>
      <w:lvlText w:val=""/>
      <w:lvlJc w:val="left"/>
      <w:pPr>
        <w:ind w:left="4910" w:hanging="360"/>
      </w:pPr>
      <w:rPr>
        <w:rFonts w:ascii="Symbol" w:hAnsi="Symbol" w:cs="Symbol" w:hint="default"/>
        <w:lang w:val="en-US" w:eastAsia="en-US" w:bidi="ar-SA"/>
      </w:rPr>
    </w:lvl>
    <w:lvl w:ilvl="6">
      <w:start w:val="1"/>
      <w:numFmt w:val="bullet"/>
      <w:lvlText w:val=""/>
      <w:lvlJc w:val="left"/>
      <w:pPr>
        <w:ind w:left="5800" w:hanging="360"/>
      </w:pPr>
      <w:rPr>
        <w:rFonts w:ascii="Symbol" w:hAnsi="Symbol" w:cs="Symbol" w:hint="default"/>
        <w:lang w:val="en-US" w:eastAsia="en-US" w:bidi="ar-SA"/>
      </w:rPr>
    </w:lvl>
    <w:lvl w:ilvl="7">
      <w:start w:val="1"/>
      <w:numFmt w:val="bullet"/>
      <w:lvlText w:val=""/>
      <w:lvlJc w:val="left"/>
      <w:pPr>
        <w:ind w:left="6690" w:hanging="360"/>
      </w:pPr>
      <w:rPr>
        <w:rFonts w:ascii="Symbol" w:hAnsi="Symbol" w:cs="Symbol" w:hint="default"/>
        <w:lang w:val="en-US" w:eastAsia="en-US" w:bidi="ar-SA"/>
      </w:rPr>
    </w:lvl>
    <w:lvl w:ilvl="8">
      <w:start w:val="1"/>
      <w:numFmt w:val="bullet"/>
      <w:lvlText w:val=""/>
      <w:lvlJc w:val="left"/>
      <w:pPr>
        <w:ind w:left="7580" w:hanging="360"/>
      </w:pPr>
      <w:rPr>
        <w:rFonts w:ascii="Symbol" w:hAnsi="Symbol" w:cs="Symbol" w:hint="default"/>
        <w:lang w:val="en-US" w:eastAsia="en-US" w:bidi="ar-SA"/>
      </w:rPr>
    </w:lvl>
  </w:abstractNum>
  <w:abstractNum w:abstractNumId="3" w15:restartNumberingAfterBreak="0">
    <w:nsid w:val="648179DC"/>
    <w:multiLevelType w:val="multilevel"/>
    <w:tmpl w:val="5BE27C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4BC439D"/>
    <w:multiLevelType w:val="multilevel"/>
    <w:tmpl w:val="2C9CA5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761603595">
    <w:abstractNumId w:val="2"/>
  </w:num>
  <w:num w:numId="2" w16cid:durableId="1439988609">
    <w:abstractNumId w:val="1"/>
  </w:num>
  <w:num w:numId="3" w16cid:durableId="1419251715">
    <w:abstractNumId w:val="3"/>
  </w:num>
  <w:num w:numId="4" w16cid:durableId="511142542">
    <w:abstractNumId w:val="4"/>
  </w:num>
  <w:num w:numId="5" w16cid:durableId="2008092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C87"/>
    <w:rsid w:val="0018018E"/>
    <w:rsid w:val="001A057D"/>
    <w:rsid w:val="001D0CBD"/>
    <w:rsid w:val="00234FD3"/>
    <w:rsid w:val="00410EC0"/>
    <w:rsid w:val="00437B87"/>
    <w:rsid w:val="00544709"/>
    <w:rsid w:val="005555F3"/>
    <w:rsid w:val="00565293"/>
    <w:rsid w:val="005731CF"/>
    <w:rsid w:val="00616026"/>
    <w:rsid w:val="00622761"/>
    <w:rsid w:val="00635584"/>
    <w:rsid w:val="00660B2B"/>
    <w:rsid w:val="006F021B"/>
    <w:rsid w:val="008D3C87"/>
    <w:rsid w:val="008F2256"/>
    <w:rsid w:val="00AD2B47"/>
    <w:rsid w:val="00AF3101"/>
    <w:rsid w:val="00B00644"/>
    <w:rsid w:val="00B30316"/>
    <w:rsid w:val="00C3248C"/>
    <w:rsid w:val="00C402E5"/>
    <w:rsid w:val="00C513DF"/>
    <w:rsid w:val="00D27684"/>
    <w:rsid w:val="00FB5746"/>
    <w:rsid w:val="00FE258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4A04B"/>
  <w15:docId w15:val="{13BA81E1-1262-4623-B410-A23E4C66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spacing w:line="274" w:lineRule="exact"/>
      <w:ind w:left="106"/>
      <w:outlineLvl w:val="0"/>
    </w:pPr>
    <w:rPr>
      <w:b/>
      <w:bCs/>
      <w:sz w:val="24"/>
      <w:szCs w:val="24"/>
    </w:rPr>
  </w:style>
  <w:style w:type="paragraph" w:styleId="Heading2">
    <w:name w:val="heading 2"/>
    <w:basedOn w:val="Normal"/>
    <w:uiPriority w:val="9"/>
    <w:unhideWhenUsed/>
    <w:qFormat/>
    <w:pPr>
      <w:spacing w:line="274" w:lineRule="exact"/>
      <w:ind w:left="106"/>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1005C5"/>
    <w:rPr>
      <w:sz w:val="16"/>
      <w:szCs w:val="16"/>
    </w:rPr>
  </w:style>
  <w:style w:type="character" w:customStyle="1" w:styleId="CommentTextChar">
    <w:name w:val="Comment Text Char"/>
    <w:basedOn w:val="DefaultParagraphFont"/>
    <w:link w:val="CommentText"/>
    <w:uiPriority w:val="99"/>
    <w:qFormat/>
    <w:rsid w:val="001005C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sid w:val="001005C5"/>
    <w:rPr>
      <w:rFonts w:ascii="Times New Roman" w:eastAsia="Times New Roman" w:hAnsi="Times New Roman" w:cs="Times New Roman"/>
      <w:b/>
      <w:bCs/>
      <w:sz w:val="20"/>
      <w:szCs w:val="20"/>
    </w:rPr>
  </w:style>
  <w:style w:type="character" w:customStyle="1" w:styleId="HeaderChar">
    <w:name w:val="Header Char"/>
    <w:basedOn w:val="DefaultParagraphFont"/>
    <w:link w:val="Header"/>
    <w:uiPriority w:val="99"/>
    <w:qFormat/>
    <w:rsid w:val="00BD6DBF"/>
    <w:rPr>
      <w:rFonts w:ascii="Times New Roman" w:eastAsia="Times New Roman" w:hAnsi="Times New Roman" w:cs="Times New Roman"/>
    </w:rPr>
  </w:style>
  <w:style w:type="character" w:customStyle="1" w:styleId="FooterChar">
    <w:name w:val="Footer Char"/>
    <w:basedOn w:val="DefaultParagraphFont"/>
    <w:link w:val="Footer"/>
    <w:uiPriority w:val="99"/>
    <w:qFormat/>
    <w:rsid w:val="00BD6DBF"/>
    <w:rPr>
      <w:rFonts w:ascii="Times New Roman" w:eastAsia="Times New Roman" w:hAnsi="Times New Roman" w:cs="Times New Roman"/>
    </w:rPr>
  </w:style>
  <w:style w:type="character" w:customStyle="1" w:styleId="InternetLink">
    <w:name w:val="Internet Link"/>
    <w:basedOn w:val="DefaultParagraphFont"/>
    <w:uiPriority w:val="99"/>
    <w:unhideWhenUsed/>
    <w:rsid w:val="00BF7CE8"/>
    <w:rPr>
      <w:color w:val="0000FF" w:themeColor="hyperlink"/>
      <w:u w:val="single"/>
    </w:rPr>
  </w:style>
  <w:style w:type="character" w:styleId="UnresolvedMention">
    <w:name w:val="Unresolved Mention"/>
    <w:basedOn w:val="DefaultParagraphFont"/>
    <w:uiPriority w:val="99"/>
    <w:semiHidden/>
    <w:unhideWhenUsed/>
    <w:qFormat/>
    <w:rsid w:val="00BF7CE8"/>
    <w:rPr>
      <w:color w:val="605E5C"/>
      <w:shd w:val="clear" w:color="auto" w:fill="E1DFDD"/>
    </w:rPr>
  </w:style>
  <w:style w:type="character" w:styleId="FollowedHyperlink">
    <w:name w:val="FollowedHyperlink"/>
    <w:basedOn w:val="DefaultParagraphFont"/>
    <w:uiPriority w:val="99"/>
    <w:semiHidden/>
    <w:unhideWhenUsed/>
    <w:qFormat/>
    <w:rsid w:val="00DC7232"/>
    <w:rPr>
      <w:color w:val="800080" w:themeColor="followedHyperlink"/>
      <w:u w:val="single"/>
    </w:rPr>
  </w:style>
  <w:style w:type="character" w:customStyle="1" w:styleId="Heading1Char">
    <w:name w:val="Heading 1 Char"/>
    <w:basedOn w:val="DefaultParagraphFont"/>
    <w:link w:val="Heading1"/>
    <w:uiPriority w:val="9"/>
    <w:qFormat/>
    <w:rsid w:val="009E6EBC"/>
    <w:rPr>
      <w:rFonts w:ascii="Times New Roman" w:eastAsia="Times New Roman" w:hAnsi="Times New Roman" w:cs="Times New Roman"/>
      <w:b/>
      <w:bCs/>
      <w:sz w:val="24"/>
      <w:szCs w:val="24"/>
    </w:rPr>
  </w:style>
  <w:style w:type="character" w:customStyle="1" w:styleId="ListLabel1">
    <w:name w:val="ListLabel 1"/>
    <w:qFormat/>
    <w:rPr>
      <w:rFonts w:eastAsia="Times New Roman" w:cs="Times New Roman"/>
      <w:b w:val="0"/>
      <w:bCs w:val="0"/>
      <w:i w:val="0"/>
      <w:iCs w:val="0"/>
      <w:w w:val="100"/>
      <w:sz w:val="24"/>
      <w:szCs w:val="24"/>
      <w:lang w:val="en-US" w:eastAsia="en-US" w:bidi="ar-SA"/>
    </w:rPr>
  </w:style>
  <w:style w:type="character" w:customStyle="1" w:styleId="ListLabel2">
    <w:name w:val="ListLabel 2"/>
    <w:qFormat/>
    <w:rPr>
      <w:lang w:val="en-US" w:eastAsia="en-US" w:bidi="ar-SA"/>
    </w:rPr>
  </w:style>
  <w:style w:type="character" w:customStyle="1" w:styleId="ListLabel3">
    <w:name w:val="ListLabel 3"/>
    <w:qFormat/>
    <w:rPr>
      <w:lang w:val="en-US" w:eastAsia="en-US" w:bidi="ar-SA"/>
    </w:rPr>
  </w:style>
  <w:style w:type="character" w:customStyle="1" w:styleId="ListLabel4">
    <w:name w:val="ListLabel 4"/>
    <w:qFormat/>
    <w:rPr>
      <w:lang w:val="en-US" w:eastAsia="en-US" w:bidi="ar-SA"/>
    </w:rPr>
  </w:style>
  <w:style w:type="character" w:customStyle="1" w:styleId="ListLabel5">
    <w:name w:val="ListLabel 5"/>
    <w:qFormat/>
    <w:rPr>
      <w:lang w:val="en-US" w:eastAsia="en-US" w:bidi="ar-SA"/>
    </w:rPr>
  </w:style>
  <w:style w:type="character" w:customStyle="1" w:styleId="ListLabel6">
    <w:name w:val="ListLabel 6"/>
    <w:qFormat/>
    <w:rPr>
      <w:lang w:val="en-US" w:eastAsia="en-US" w:bidi="ar-SA"/>
    </w:rPr>
  </w:style>
  <w:style w:type="character" w:customStyle="1" w:styleId="ListLabel7">
    <w:name w:val="ListLabel 7"/>
    <w:qFormat/>
    <w:rPr>
      <w:lang w:val="en-US" w:eastAsia="en-US" w:bidi="ar-SA"/>
    </w:rPr>
  </w:style>
  <w:style w:type="character" w:customStyle="1" w:styleId="ListLabel8">
    <w:name w:val="ListLabel 8"/>
    <w:qFormat/>
    <w:rPr>
      <w:lang w:val="en-US" w:eastAsia="en-US" w:bidi="ar-SA"/>
    </w:rPr>
  </w:style>
  <w:style w:type="character" w:customStyle="1" w:styleId="ListLabel9">
    <w:name w:val="ListLabel 9"/>
    <w:qFormat/>
    <w:rPr>
      <w:lang w:val="en-US" w:eastAsia="en-US" w:bidi="ar-SA"/>
    </w:rPr>
  </w:style>
  <w:style w:type="character" w:customStyle="1" w:styleId="ListLabel10">
    <w:name w:val="ListLabel 10"/>
    <w:qFormat/>
    <w:rPr>
      <w:rFonts w:eastAsia="Verdana" w:cs="Verdana"/>
      <w:b w:val="0"/>
      <w:bCs w:val="0"/>
      <w:i w:val="0"/>
      <w:iCs w:val="0"/>
      <w:w w:val="100"/>
      <w:sz w:val="24"/>
      <w:szCs w:val="24"/>
      <w:lang w:val="en-US" w:eastAsia="en-US" w:bidi="ar-SA"/>
    </w:rPr>
  </w:style>
  <w:style w:type="character" w:customStyle="1" w:styleId="ListLabel11">
    <w:name w:val="ListLabel 11"/>
    <w:qFormat/>
    <w:rPr>
      <w:lang w:val="en-US" w:eastAsia="en-US" w:bidi="ar-SA"/>
    </w:rPr>
  </w:style>
  <w:style w:type="character" w:customStyle="1" w:styleId="ListLabel12">
    <w:name w:val="ListLabel 12"/>
    <w:qFormat/>
    <w:rPr>
      <w:lang w:val="en-US" w:eastAsia="en-US" w:bidi="ar-SA"/>
    </w:rPr>
  </w:style>
  <w:style w:type="character" w:customStyle="1" w:styleId="ListLabel13">
    <w:name w:val="ListLabel 13"/>
    <w:qFormat/>
    <w:rPr>
      <w:lang w:val="en-US" w:eastAsia="en-US" w:bidi="ar-SA"/>
    </w:rPr>
  </w:style>
  <w:style w:type="character" w:customStyle="1" w:styleId="ListLabel14">
    <w:name w:val="ListLabel 14"/>
    <w:qFormat/>
    <w:rPr>
      <w:lang w:val="en-US" w:eastAsia="en-US" w:bidi="ar-SA"/>
    </w:rPr>
  </w:style>
  <w:style w:type="character" w:customStyle="1" w:styleId="ListLabel15">
    <w:name w:val="ListLabel 15"/>
    <w:qFormat/>
    <w:rPr>
      <w:lang w:val="en-US" w:eastAsia="en-US" w:bidi="ar-SA"/>
    </w:rPr>
  </w:style>
  <w:style w:type="character" w:customStyle="1" w:styleId="ListLabel16">
    <w:name w:val="ListLabel 16"/>
    <w:qFormat/>
    <w:rPr>
      <w:lang w:val="en-US" w:eastAsia="en-US" w:bidi="ar-SA"/>
    </w:rPr>
  </w:style>
  <w:style w:type="character" w:customStyle="1" w:styleId="ListLabel17">
    <w:name w:val="ListLabel 17"/>
    <w:qFormat/>
    <w:rPr>
      <w:lang w:val="en-US" w:eastAsia="en-US" w:bidi="ar-SA"/>
    </w:rPr>
  </w:style>
  <w:style w:type="character" w:customStyle="1" w:styleId="ListLabel18">
    <w:name w:val="ListLabel 18"/>
    <w:qFormat/>
    <w:rPr>
      <w:lang w:val="en-US" w:eastAsia="en-US" w:bidi="ar-SA"/>
    </w:rPr>
  </w:style>
  <w:style w:type="character" w:customStyle="1" w:styleId="ListLabel19">
    <w:name w:val="ListLabel 19"/>
    <w:qFormat/>
    <w:rPr>
      <w:rFonts w:eastAsia="Verdana" w:cs="Verdana"/>
      <w:b w:val="0"/>
      <w:bCs w:val="0"/>
      <w:i w:val="0"/>
      <w:iCs w:val="0"/>
      <w:w w:val="100"/>
      <w:sz w:val="24"/>
      <w:szCs w:val="24"/>
      <w:lang w:val="en-US" w:eastAsia="en-US" w:bidi="ar-SA"/>
    </w:rPr>
  </w:style>
  <w:style w:type="character" w:customStyle="1" w:styleId="ListLabel20">
    <w:name w:val="ListLabel 20"/>
    <w:qFormat/>
    <w:rPr>
      <w:lang w:val="en-US" w:eastAsia="en-US" w:bidi="ar-SA"/>
    </w:rPr>
  </w:style>
  <w:style w:type="character" w:customStyle="1" w:styleId="ListLabel21">
    <w:name w:val="ListLabel 21"/>
    <w:qFormat/>
    <w:rPr>
      <w:lang w:val="en-US" w:eastAsia="en-US" w:bidi="ar-SA"/>
    </w:rPr>
  </w:style>
  <w:style w:type="character" w:customStyle="1" w:styleId="ListLabel22">
    <w:name w:val="ListLabel 22"/>
    <w:qFormat/>
    <w:rPr>
      <w:lang w:val="en-US" w:eastAsia="en-US" w:bidi="ar-SA"/>
    </w:rPr>
  </w:style>
  <w:style w:type="character" w:customStyle="1" w:styleId="ListLabel23">
    <w:name w:val="ListLabel 23"/>
    <w:qFormat/>
    <w:rPr>
      <w:lang w:val="en-US" w:eastAsia="en-US" w:bidi="ar-SA"/>
    </w:rPr>
  </w:style>
  <w:style w:type="character" w:customStyle="1" w:styleId="ListLabel24">
    <w:name w:val="ListLabel 24"/>
    <w:qFormat/>
    <w:rPr>
      <w:lang w:val="en-US" w:eastAsia="en-US" w:bidi="ar-SA"/>
    </w:rPr>
  </w:style>
  <w:style w:type="character" w:customStyle="1" w:styleId="ListLabel25">
    <w:name w:val="ListLabel 25"/>
    <w:qFormat/>
    <w:rPr>
      <w:lang w:val="en-US" w:eastAsia="en-US" w:bidi="ar-SA"/>
    </w:rPr>
  </w:style>
  <w:style w:type="character" w:customStyle="1" w:styleId="ListLabel26">
    <w:name w:val="ListLabel 26"/>
    <w:qFormat/>
    <w:rPr>
      <w:lang w:val="en-US" w:eastAsia="en-US" w:bidi="ar-SA"/>
    </w:rPr>
  </w:style>
  <w:style w:type="character" w:customStyle="1" w:styleId="ListLabel27">
    <w:name w:val="ListLabel 27"/>
    <w:qFormat/>
    <w:rPr>
      <w:lang w:val="en-US" w:eastAsia="en-US" w:bidi="ar-SA"/>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Verdana" w:cs="Verdana"/>
      <w:b w:val="0"/>
      <w:bCs w:val="0"/>
      <w:i w:val="0"/>
      <w:iCs w:val="0"/>
      <w:w w:val="100"/>
      <w:sz w:val="24"/>
      <w:szCs w:val="24"/>
      <w:lang w:val="en-US" w:eastAsia="en-US" w:bidi="ar-SA"/>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ascii="Arial" w:eastAsia="Arial" w:hAnsi="Arial"/>
      <w:sz w:val="20"/>
    </w:rPr>
  </w:style>
  <w:style w:type="character" w:customStyle="1" w:styleId="ListLabel39">
    <w:name w:val="ListLabel 39"/>
    <w:qFormat/>
    <w:rPr>
      <w:rFonts w:ascii="Arial" w:eastAsia="Arial" w:hAnsi="Arial" w:cs="Arial"/>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uiPriority w:val="1"/>
    <w:qFormat/>
    <w:pPr>
      <w:ind w:left="466" w:hanging="420"/>
    </w:pPr>
    <w:rPr>
      <w:sz w:val="24"/>
      <w:szCs w:val="24"/>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uiPriority w:val="10"/>
    <w:qFormat/>
    <w:pPr>
      <w:spacing w:before="102"/>
      <w:ind w:left="106" w:right="564"/>
    </w:pPr>
    <w:rPr>
      <w:b/>
      <w:bCs/>
      <w:sz w:val="36"/>
      <w:szCs w:val="36"/>
    </w:rPr>
  </w:style>
  <w:style w:type="paragraph" w:styleId="ListParagraph">
    <w:name w:val="List Paragraph"/>
    <w:basedOn w:val="Normal"/>
    <w:uiPriority w:val="34"/>
    <w:qFormat/>
    <w:pPr>
      <w:ind w:left="466" w:hanging="360"/>
    </w:pPr>
  </w:style>
  <w:style w:type="paragraph" w:customStyle="1" w:styleId="TableParagraph">
    <w:name w:val="Table Paragraph"/>
    <w:basedOn w:val="Normal"/>
    <w:uiPriority w:val="1"/>
    <w:qFormat/>
  </w:style>
  <w:style w:type="paragraph" w:styleId="Revision">
    <w:name w:val="Revision"/>
    <w:uiPriority w:val="99"/>
    <w:semiHidden/>
    <w:qFormat/>
    <w:rsid w:val="008E6721"/>
    <w:rPr>
      <w:rFonts w:ascii="Times New Roman" w:eastAsia="Times New Roman" w:hAnsi="Times New Roman" w:cs="Times New Roman"/>
    </w:rPr>
  </w:style>
  <w:style w:type="paragraph" w:styleId="CommentText">
    <w:name w:val="annotation text"/>
    <w:basedOn w:val="Normal"/>
    <w:link w:val="CommentTextChar"/>
    <w:uiPriority w:val="99"/>
    <w:unhideWhenUsed/>
    <w:qFormat/>
    <w:rsid w:val="001005C5"/>
    <w:rPr>
      <w:sz w:val="20"/>
      <w:szCs w:val="20"/>
    </w:rPr>
  </w:style>
  <w:style w:type="paragraph" w:styleId="CommentSubject">
    <w:name w:val="annotation subject"/>
    <w:basedOn w:val="CommentText"/>
    <w:link w:val="CommentSubjectChar"/>
    <w:uiPriority w:val="99"/>
    <w:semiHidden/>
    <w:unhideWhenUsed/>
    <w:qFormat/>
    <w:rsid w:val="001005C5"/>
    <w:rPr>
      <w:b/>
      <w:bCs/>
    </w:rPr>
  </w:style>
  <w:style w:type="paragraph" w:styleId="Header">
    <w:name w:val="header"/>
    <w:basedOn w:val="Normal"/>
    <w:link w:val="HeaderChar"/>
    <w:uiPriority w:val="99"/>
    <w:unhideWhenUsed/>
    <w:rsid w:val="00BD6DBF"/>
    <w:pPr>
      <w:tabs>
        <w:tab w:val="center" w:pos="4680"/>
        <w:tab w:val="right" w:pos="9360"/>
      </w:tabs>
    </w:pPr>
  </w:style>
  <w:style w:type="paragraph" w:styleId="Footer">
    <w:name w:val="footer"/>
    <w:basedOn w:val="Normal"/>
    <w:link w:val="FooterChar"/>
    <w:uiPriority w:val="99"/>
    <w:unhideWhenUsed/>
    <w:rsid w:val="00BD6DBF"/>
    <w:pPr>
      <w:tabs>
        <w:tab w:val="center" w:pos="4680"/>
        <w:tab w:val="right" w:pos="9360"/>
      </w:tabs>
    </w:pPr>
  </w:style>
  <w:style w:type="paragraph" w:customStyle="1" w:styleId="StatementText">
    <w:name w:val="*Statement Text"/>
    <w:basedOn w:val="Normal"/>
    <w:qFormat/>
    <w:rsid w:val="009E6EBC"/>
    <w:pPr>
      <w:spacing w:before="240" w:after="240" w:line="259" w:lineRule="auto"/>
    </w:pPr>
    <w:rPr>
      <w:rFonts w:ascii="Arial" w:eastAsiaTheme="minorHAnsi" w:hAnsi="Arial" w:cs="Arial"/>
      <w:sz w:val="20"/>
      <w:szCs w:val="20"/>
    </w:rPr>
  </w:style>
  <w:style w:type="paragraph" w:customStyle="1" w:styleId="Heading20">
    <w:name w:val="*Heading 2"/>
    <w:basedOn w:val="Normal"/>
    <w:next w:val="Normal"/>
    <w:qFormat/>
    <w:rsid w:val="001D0831"/>
    <w:pPr>
      <w:spacing w:before="360" w:after="240" w:line="259" w:lineRule="auto"/>
    </w:pPr>
    <w:rPr>
      <w:rFonts w:asciiTheme="minorHAnsi" w:eastAsiaTheme="minorHAnsi" w:hAnsiTheme="minorHAnsi" w:cs="Arial"/>
      <w:b/>
    </w:rPr>
  </w:style>
  <w:style w:type="paragraph" w:customStyle="1" w:styleId="References">
    <w:name w:val="*References"/>
    <w:basedOn w:val="Normal"/>
    <w:qFormat/>
    <w:rsid w:val="001D0831"/>
    <w:pPr>
      <w:spacing w:before="240" w:after="160" w:line="259" w:lineRule="auto"/>
      <w:contextualSpacing/>
    </w:pPr>
    <w:rPr>
      <w:rFonts w:ascii="Arial" w:eastAsiaTheme="minorHAnsi" w:hAnsi="Arial" w:cs="Arial"/>
      <w:sz w:val="20"/>
      <w:szCs w:val="20"/>
    </w:rPr>
  </w:style>
  <w:style w:type="paragraph" w:customStyle="1" w:styleId="HistoryText">
    <w:name w:val="*History Text"/>
    <w:basedOn w:val="Normal"/>
    <w:qFormat/>
    <w:rsid w:val="001D5BF2"/>
    <w:pPr>
      <w:spacing w:line="276" w:lineRule="auto"/>
    </w:pPr>
    <w:rPr>
      <w:rFonts w:ascii="Arial" w:eastAsiaTheme="minorHAnsi" w:hAnsi="Arial" w:cs="Arial"/>
      <w:i/>
      <w:sz w:val="20"/>
      <w:szCs w:val="20"/>
    </w:rPr>
  </w:style>
  <w:style w:type="paragraph" w:customStyle="1" w:styleId="Default">
    <w:name w:val="Default"/>
    <w:qFormat/>
    <w:rsid w:val="00DC2976"/>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437B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s.org/media/f10eka54/geriatricsv_standard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l.gov/sites/default/files/Aging%20and%20Disability%20in%20America/2020ProfileOlderAmericans.Final_.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acs.org/quality-programs/strong-for-surgery/clinicians/prehabilit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s.org/media/y5efmgox/acs-nsqip-geriatric-2016-guidelines.pdf" TargetMode="External"/><Relationship Id="rId5" Type="http://schemas.openxmlformats.org/officeDocument/2006/relationships/numbering" Target="numbering.xml"/><Relationship Id="rId15" Type="http://schemas.openxmlformats.org/officeDocument/2006/relationships/hyperlink" Target="https://www.facs.org/media/mnfjp522/prehabilitation_checklist.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urnals.lww.com/co-anesthesiology/toc/2021/06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43055B2C86549B81D3644A938193A" ma:contentTypeVersion="6" ma:contentTypeDescription="Create a new document." ma:contentTypeScope="" ma:versionID="b522ae7976fa17ed571de6bd2f1bc896">
  <xsd:schema xmlns:xsd="http://www.w3.org/2001/XMLSchema" xmlns:xs="http://www.w3.org/2001/XMLSchema" xmlns:p="http://schemas.microsoft.com/office/2006/metadata/properties" xmlns:ns2="9478ffcb-2c26-4609-8e49-caa05a78fe13" xmlns:ns3="7f0325fb-172a-40b0-9a7e-50ba0a4e6bb7" targetNamespace="http://schemas.microsoft.com/office/2006/metadata/properties" ma:root="true" ma:fieldsID="0936e6eb8ec312af4f6ffb2664af68e1" ns2:_="" ns3:_="">
    <xsd:import namespace="9478ffcb-2c26-4609-8e49-caa05a78fe13"/>
    <xsd:import namespace="7f0325fb-172a-40b0-9a7e-50ba0a4e6bb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8ffcb-2c26-4609-8e49-caa05a78fe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0325fb-172a-40b0-9a7e-50ba0a4e6b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C32E4B-96B3-43AB-B3A5-85E8E65A76B9}">
  <ds:schemaRefs>
    <ds:schemaRef ds:uri="http://schemas.microsoft.com/sharepoint/v3/contenttype/forms"/>
  </ds:schemaRefs>
</ds:datastoreItem>
</file>

<file path=customXml/itemProps2.xml><?xml version="1.0" encoding="utf-8"?>
<ds:datastoreItem xmlns:ds="http://schemas.openxmlformats.org/officeDocument/2006/customXml" ds:itemID="{F286ED86-B990-4E58-92B3-932F7FC05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78ffcb-2c26-4609-8e49-caa05a78fe13"/>
    <ds:schemaRef ds:uri="7f0325fb-172a-40b0-9a7e-50ba0a4e6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837FF1-A344-4057-80B8-68E485A8BCA3}">
  <ds:schemaRefs>
    <ds:schemaRef ds:uri="http://schemas.openxmlformats.org/officeDocument/2006/bibliography"/>
  </ds:schemaRefs>
</ds:datastoreItem>
</file>

<file path=customXml/itemProps4.xml><?xml version="1.0" encoding="utf-8"?>
<ds:datastoreItem xmlns:ds="http://schemas.openxmlformats.org/officeDocument/2006/customXml" ds:itemID="{786832B1-A707-4EA5-80A6-4698838918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3012</Words>
  <Characters>17175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Ogg</dc:creator>
  <dc:description/>
  <cp:lastModifiedBy>Christina Rizzo</cp:lastModifiedBy>
  <cp:revision>2</cp:revision>
  <cp:lastPrinted>2023-02-20T23:04:00Z</cp:lastPrinted>
  <dcterms:created xsi:type="dcterms:W3CDTF">2023-03-07T01:53:00Z</dcterms:created>
  <dcterms:modified xsi:type="dcterms:W3CDTF">2023-03-07T01:53:00Z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0x010100D7A43055B2C86549B81D3644A938193A</vt:lpwstr>
  </property>
  <property fmtid="{D5CDD505-2E9C-101B-9397-08002B2CF9AE}" pid="4" name="Created">
    <vt:filetime>2015-04-07T00:00:00Z</vt:filetime>
  </property>
  <property fmtid="{D5CDD505-2E9C-101B-9397-08002B2CF9AE}" pid="5" name="Creator">
    <vt:lpwstr>Microsoft® Word 2013</vt:lpwstr>
  </property>
  <property fmtid="{D5CDD505-2E9C-101B-9397-08002B2CF9AE}" pid="6" name="DocSecurity">
    <vt:i4>4</vt:i4>
  </property>
  <property fmtid="{D5CDD505-2E9C-101B-9397-08002B2CF9AE}" pid="7" name="HyperlinksChanged">
    <vt:bool>false</vt:bool>
  </property>
  <property fmtid="{D5CDD505-2E9C-101B-9397-08002B2CF9AE}" pid="8" name="LastSaved">
    <vt:filetime>2022-01-18T00:00:00Z</vt:filetime>
  </property>
  <property fmtid="{D5CDD505-2E9C-101B-9397-08002B2CF9AE}" pid="9" name="LinksUpToDate">
    <vt:bool>false</vt:bool>
  </property>
  <property fmtid="{D5CDD505-2E9C-101B-9397-08002B2CF9AE}" pid="10" name="MediaServiceImageTags">
    <vt:lpwstr/>
  </property>
  <property fmtid="{D5CDD505-2E9C-101B-9397-08002B2CF9AE}" pid="11" name="ScaleCrop">
    <vt:bool>false</vt:bool>
  </property>
  <property fmtid="{D5CDD505-2E9C-101B-9397-08002B2CF9AE}" pid="12" name="ShareDoc">
    <vt:bool>false</vt:bool>
  </property>
</Properties>
</file>